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772E2" w:rsidRPr="0064181E" w:rsidRDefault="0057350F" w:rsidP="00313772">
      <w:pPr>
        <w:pStyle w:val="Heading1"/>
        <w:rPr>
          <w:szCs w:val="24"/>
        </w:rPr>
      </w:pPr>
      <w:r>
        <w:rPr>
          <w:szCs w:val="24"/>
        </w:rPr>
        <w:t>S</w:t>
      </w:r>
      <w:r w:rsidR="00A2676B">
        <w:rPr>
          <w:szCs w:val="24"/>
        </w:rPr>
        <w:t xml:space="preserve">TATE </w:t>
      </w:r>
      <w:r w:rsidR="007772E2" w:rsidRPr="0064181E">
        <w:rPr>
          <w:szCs w:val="24"/>
        </w:rPr>
        <w:t>WAIVER REQUEST</w:t>
      </w:r>
    </w:p>
    <w:p w:rsidR="007772E2" w:rsidRDefault="007772E2" w:rsidP="007772E2">
      <w:pPr>
        <w:rPr>
          <w:b/>
          <w:sz w:val="24"/>
          <w:szCs w:val="24"/>
        </w:rPr>
      </w:pPr>
    </w:p>
    <w:p w:rsidR="006B28CB" w:rsidRPr="0064181E" w:rsidRDefault="006B28CB" w:rsidP="007772E2">
      <w:pPr>
        <w:rPr>
          <w:b/>
          <w:sz w:val="24"/>
          <w:szCs w:val="24"/>
        </w:rPr>
      </w:pPr>
    </w:p>
    <w:p w:rsidR="00C327F6" w:rsidRDefault="00C327F6" w:rsidP="007772E2">
      <w:pPr>
        <w:numPr>
          <w:ilvl w:val="0"/>
          <w:numId w:val="1"/>
        </w:numPr>
        <w:rPr>
          <w:b/>
          <w:sz w:val="24"/>
          <w:szCs w:val="24"/>
        </w:rPr>
      </w:pPr>
      <w:r>
        <w:rPr>
          <w:b/>
          <w:sz w:val="24"/>
          <w:szCs w:val="24"/>
        </w:rPr>
        <w:t>Waiver Serial Number (if applicable):</w:t>
      </w:r>
      <w:r w:rsidR="00600C5C">
        <w:rPr>
          <w:b/>
          <w:sz w:val="24"/>
          <w:szCs w:val="24"/>
        </w:rPr>
        <w:t xml:space="preserve"> </w:t>
      </w:r>
    </w:p>
    <w:p w:rsidR="00B9231B" w:rsidRDefault="00B9231B" w:rsidP="00B9231B">
      <w:pPr>
        <w:ind w:left="420"/>
        <w:rPr>
          <w:b/>
          <w:sz w:val="24"/>
          <w:szCs w:val="24"/>
        </w:rPr>
      </w:pPr>
    </w:p>
    <w:p w:rsidR="007772E2" w:rsidRPr="008C3B5E" w:rsidRDefault="005D0579" w:rsidP="007772E2">
      <w:pPr>
        <w:numPr>
          <w:ilvl w:val="0"/>
          <w:numId w:val="1"/>
        </w:numPr>
        <w:rPr>
          <w:sz w:val="24"/>
          <w:szCs w:val="24"/>
        </w:rPr>
      </w:pPr>
      <w:r>
        <w:rPr>
          <w:b/>
          <w:sz w:val="24"/>
          <w:szCs w:val="24"/>
        </w:rPr>
        <w:t>Type of r</w:t>
      </w:r>
      <w:r w:rsidR="007772E2" w:rsidRPr="0064181E">
        <w:rPr>
          <w:b/>
          <w:sz w:val="24"/>
          <w:szCs w:val="24"/>
        </w:rPr>
        <w:t xml:space="preserve">equest: </w:t>
      </w:r>
      <w:r w:rsidR="00A2676B">
        <w:rPr>
          <w:b/>
          <w:sz w:val="24"/>
          <w:szCs w:val="24"/>
        </w:rPr>
        <w:t xml:space="preserve"> </w:t>
      </w:r>
      <w:r w:rsidR="008C3B5E" w:rsidRPr="008C3B5E">
        <w:rPr>
          <w:sz w:val="24"/>
          <w:szCs w:val="24"/>
        </w:rPr>
        <w:t>Extension and Modification</w:t>
      </w:r>
    </w:p>
    <w:p w:rsidR="00E501DD" w:rsidRDefault="00E501DD">
      <w:pPr>
        <w:ind w:left="420"/>
        <w:rPr>
          <w:b/>
          <w:sz w:val="24"/>
          <w:szCs w:val="24"/>
        </w:rPr>
      </w:pPr>
    </w:p>
    <w:p w:rsidR="007772E2" w:rsidRPr="0064181E" w:rsidRDefault="005D0579" w:rsidP="007772E2">
      <w:pPr>
        <w:numPr>
          <w:ilvl w:val="0"/>
          <w:numId w:val="1"/>
        </w:numPr>
        <w:rPr>
          <w:b/>
          <w:sz w:val="24"/>
          <w:szCs w:val="24"/>
        </w:rPr>
      </w:pPr>
      <w:r>
        <w:rPr>
          <w:b/>
          <w:sz w:val="24"/>
          <w:szCs w:val="24"/>
        </w:rPr>
        <w:t>Regulatory c</w:t>
      </w:r>
      <w:r w:rsidR="007772E2" w:rsidRPr="0064181E">
        <w:rPr>
          <w:b/>
          <w:sz w:val="24"/>
          <w:szCs w:val="24"/>
        </w:rPr>
        <w:t>itation:</w:t>
      </w:r>
      <w:r w:rsidR="00600C5C">
        <w:rPr>
          <w:sz w:val="24"/>
          <w:szCs w:val="24"/>
        </w:rPr>
        <w:t xml:space="preserve">  </w:t>
      </w:r>
      <w:r w:rsidR="008C3B5E">
        <w:rPr>
          <w:sz w:val="24"/>
          <w:szCs w:val="24"/>
        </w:rPr>
        <w:t>7 CFR 273.24</w:t>
      </w:r>
    </w:p>
    <w:p w:rsidR="00E501DD" w:rsidRDefault="00E501DD">
      <w:pPr>
        <w:pStyle w:val="ListParagraph"/>
        <w:ind w:left="420"/>
        <w:rPr>
          <w:b/>
          <w:sz w:val="24"/>
          <w:szCs w:val="24"/>
        </w:rPr>
      </w:pPr>
    </w:p>
    <w:p w:rsidR="007772E2" w:rsidRPr="008C3B5E" w:rsidRDefault="00600C5C" w:rsidP="007772E2">
      <w:pPr>
        <w:numPr>
          <w:ilvl w:val="0"/>
          <w:numId w:val="1"/>
        </w:numPr>
        <w:rPr>
          <w:sz w:val="24"/>
          <w:szCs w:val="24"/>
        </w:rPr>
      </w:pPr>
      <w:r>
        <w:rPr>
          <w:b/>
          <w:sz w:val="24"/>
          <w:szCs w:val="24"/>
        </w:rPr>
        <w:t xml:space="preserve">State:  </w:t>
      </w:r>
      <w:r w:rsidR="008C3B5E" w:rsidRPr="008C3B5E">
        <w:rPr>
          <w:sz w:val="24"/>
          <w:szCs w:val="24"/>
        </w:rPr>
        <w:t>New York</w:t>
      </w:r>
    </w:p>
    <w:p w:rsidR="00E501DD" w:rsidRDefault="00E501DD">
      <w:pPr>
        <w:ind w:left="420"/>
        <w:rPr>
          <w:sz w:val="24"/>
          <w:szCs w:val="24"/>
        </w:rPr>
      </w:pPr>
    </w:p>
    <w:p w:rsidR="00E96206" w:rsidRPr="008C3B5E" w:rsidRDefault="007772E2" w:rsidP="00E96206">
      <w:pPr>
        <w:numPr>
          <w:ilvl w:val="0"/>
          <w:numId w:val="1"/>
        </w:numPr>
        <w:rPr>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8C3B5E" w:rsidRPr="008C3B5E">
        <w:rPr>
          <w:sz w:val="24"/>
          <w:szCs w:val="24"/>
        </w:rPr>
        <w:t>NERO</w:t>
      </w:r>
    </w:p>
    <w:p w:rsidR="00E501DD" w:rsidRDefault="00E501DD">
      <w:pPr>
        <w:ind w:left="420"/>
        <w:rPr>
          <w:b/>
          <w:sz w:val="24"/>
          <w:szCs w:val="24"/>
        </w:rPr>
      </w:pPr>
    </w:p>
    <w:p w:rsidR="008C3B5E" w:rsidRPr="00AE3E77" w:rsidRDefault="007772E2" w:rsidP="008C3B5E">
      <w:pPr>
        <w:numPr>
          <w:ilvl w:val="0"/>
          <w:numId w:val="1"/>
        </w:numPr>
        <w:rPr>
          <w:sz w:val="24"/>
          <w:szCs w:val="24"/>
        </w:rPr>
      </w:pPr>
      <w:r w:rsidRPr="00E96206">
        <w:rPr>
          <w:b/>
          <w:sz w:val="24"/>
          <w:szCs w:val="24"/>
        </w:rPr>
        <w:t xml:space="preserve">Regulatory </w:t>
      </w:r>
      <w:r w:rsidR="005D0579">
        <w:rPr>
          <w:b/>
          <w:sz w:val="24"/>
          <w:szCs w:val="24"/>
        </w:rPr>
        <w:t>r</w:t>
      </w:r>
      <w:r w:rsidRPr="00E96206">
        <w:rPr>
          <w:b/>
          <w:sz w:val="24"/>
          <w:szCs w:val="24"/>
        </w:rPr>
        <w:t>equirements:</w:t>
      </w:r>
      <w:r w:rsidR="00600C5C">
        <w:rPr>
          <w:b/>
          <w:sz w:val="24"/>
          <w:szCs w:val="24"/>
        </w:rPr>
        <w:t xml:space="preserve">  </w:t>
      </w:r>
      <w:r w:rsidR="008C3B5E" w:rsidRPr="001930AA">
        <w:rPr>
          <w:sz w:val="24"/>
          <w:szCs w:val="24"/>
        </w:rPr>
        <w:t xml:space="preserve">Under 7 CFR 273.24(b) individuals </w:t>
      </w:r>
      <w:r w:rsidR="00D00976">
        <w:rPr>
          <w:sz w:val="24"/>
          <w:szCs w:val="24"/>
        </w:rPr>
        <w:t xml:space="preserve">who are determined to be an Able Bodied Adult Without Dependents (ABAWDs) </w:t>
      </w:r>
      <w:r w:rsidR="008C3B5E" w:rsidRPr="001930AA">
        <w:rPr>
          <w:sz w:val="24"/>
          <w:szCs w:val="24"/>
        </w:rPr>
        <w:t>are not eligible to participate in the Supplemental Nutrition Assistance Program (SNAP) as a member of any household if</w:t>
      </w:r>
      <w:r w:rsidR="008C3B5E">
        <w:rPr>
          <w:sz w:val="24"/>
          <w:szCs w:val="24"/>
        </w:rPr>
        <w:t xml:space="preserve"> </w:t>
      </w:r>
      <w:r w:rsidR="008C3B5E" w:rsidRPr="00AE3E77">
        <w:rPr>
          <w:sz w:val="24"/>
          <w:szCs w:val="24"/>
        </w:rPr>
        <w:t>the individual</w:t>
      </w:r>
      <w:r w:rsidR="008C3B5E">
        <w:rPr>
          <w:sz w:val="24"/>
          <w:szCs w:val="24"/>
        </w:rPr>
        <w:t xml:space="preserve"> </w:t>
      </w:r>
      <w:r w:rsidR="008C3B5E" w:rsidRPr="00AE3E77">
        <w:rPr>
          <w:sz w:val="24"/>
          <w:szCs w:val="24"/>
        </w:rPr>
        <w:t>received program benefits for more than 3 months during any 3 year period in</w:t>
      </w:r>
      <w:r w:rsidR="008C3B5E">
        <w:rPr>
          <w:sz w:val="24"/>
          <w:szCs w:val="24"/>
        </w:rPr>
        <w:t xml:space="preserve"> </w:t>
      </w:r>
      <w:r w:rsidR="008C3B5E" w:rsidRPr="00AE3E77">
        <w:rPr>
          <w:sz w:val="24"/>
          <w:szCs w:val="24"/>
        </w:rPr>
        <w:t>which the individual was subject to, but did not comply with</w:t>
      </w:r>
      <w:r w:rsidR="008C3B5E">
        <w:rPr>
          <w:sz w:val="24"/>
          <w:szCs w:val="24"/>
        </w:rPr>
        <w:t>,</w:t>
      </w:r>
      <w:r w:rsidR="008C3B5E" w:rsidRPr="00AE3E77">
        <w:rPr>
          <w:sz w:val="24"/>
          <w:szCs w:val="24"/>
        </w:rPr>
        <w:t xml:space="preserve"> the SNAP </w:t>
      </w:r>
      <w:r w:rsidR="00E73DA7">
        <w:rPr>
          <w:sz w:val="24"/>
          <w:szCs w:val="24"/>
        </w:rPr>
        <w:t xml:space="preserve">ABAWD </w:t>
      </w:r>
      <w:r w:rsidR="008C3B5E" w:rsidRPr="00AE3E77">
        <w:rPr>
          <w:sz w:val="24"/>
          <w:szCs w:val="24"/>
        </w:rPr>
        <w:t>work</w:t>
      </w:r>
      <w:r w:rsidR="008C3B5E">
        <w:rPr>
          <w:sz w:val="24"/>
          <w:szCs w:val="24"/>
        </w:rPr>
        <w:t xml:space="preserve"> </w:t>
      </w:r>
      <w:r w:rsidR="008C3B5E" w:rsidRPr="00AE3E77">
        <w:rPr>
          <w:sz w:val="24"/>
          <w:szCs w:val="24"/>
        </w:rPr>
        <w:t xml:space="preserve">requirements. </w:t>
      </w:r>
      <w:r w:rsidR="00D00976">
        <w:rPr>
          <w:sz w:val="24"/>
          <w:szCs w:val="24"/>
        </w:rPr>
        <w:t xml:space="preserve"> </w:t>
      </w:r>
      <w:r w:rsidR="008C3B5E" w:rsidRPr="00AE3E77">
        <w:rPr>
          <w:sz w:val="24"/>
          <w:szCs w:val="24"/>
        </w:rPr>
        <w:t>Regulations at 273.24(a) provide that fulfilling the work</w:t>
      </w:r>
      <w:r w:rsidR="008C3B5E">
        <w:rPr>
          <w:sz w:val="24"/>
          <w:szCs w:val="24"/>
        </w:rPr>
        <w:t xml:space="preserve"> </w:t>
      </w:r>
      <w:r w:rsidR="008C3B5E" w:rsidRPr="00AE3E77">
        <w:rPr>
          <w:sz w:val="24"/>
          <w:szCs w:val="24"/>
        </w:rPr>
        <w:t xml:space="preserve">requirement means: </w:t>
      </w:r>
      <w:r w:rsidR="00C07BEE">
        <w:rPr>
          <w:sz w:val="24"/>
          <w:szCs w:val="24"/>
        </w:rPr>
        <w:t xml:space="preserve"> </w:t>
      </w:r>
      <w:r w:rsidR="008C3B5E" w:rsidRPr="00AE3E77">
        <w:rPr>
          <w:sz w:val="24"/>
          <w:szCs w:val="24"/>
        </w:rPr>
        <w:t>working 20 hours or more per week, averaged monthly;</w:t>
      </w:r>
      <w:r w:rsidR="008C3B5E">
        <w:rPr>
          <w:sz w:val="24"/>
          <w:szCs w:val="24"/>
        </w:rPr>
        <w:t xml:space="preserve"> </w:t>
      </w:r>
      <w:r w:rsidR="008C3B5E" w:rsidRPr="00AE3E77">
        <w:rPr>
          <w:sz w:val="24"/>
          <w:szCs w:val="24"/>
        </w:rPr>
        <w:t>participating in and complying with the requirements of a work program or a</w:t>
      </w:r>
      <w:r w:rsidR="008C3B5E">
        <w:rPr>
          <w:sz w:val="24"/>
          <w:szCs w:val="24"/>
        </w:rPr>
        <w:t xml:space="preserve"> </w:t>
      </w:r>
      <w:r w:rsidR="008C3B5E" w:rsidRPr="00AE3E77">
        <w:rPr>
          <w:sz w:val="24"/>
          <w:szCs w:val="24"/>
        </w:rPr>
        <w:t>workfare program for at least 20 hours per week; or any combination of</w:t>
      </w:r>
      <w:r w:rsidR="008C3B5E">
        <w:rPr>
          <w:sz w:val="24"/>
          <w:szCs w:val="24"/>
        </w:rPr>
        <w:t xml:space="preserve"> </w:t>
      </w:r>
      <w:r w:rsidR="008C3B5E" w:rsidRPr="00AE3E77">
        <w:rPr>
          <w:sz w:val="24"/>
          <w:szCs w:val="24"/>
        </w:rPr>
        <w:t>working and participating in a work program for a total of</w:t>
      </w:r>
      <w:r w:rsidR="008C3B5E">
        <w:rPr>
          <w:sz w:val="24"/>
          <w:szCs w:val="24"/>
        </w:rPr>
        <w:t xml:space="preserve"> </w:t>
      </w:r>
      <w:r w:rsidR="008C3B5E" w:rsidRPr="00AE3E77">
        <w:rPr>
          <w:sz w:val="24"/>
          <w:szCs w:val="24"/>
        </w:rPr>
        <w:t>20 hours per week</w:t>
      </w:r>
      <w:r w:rsidR="008C3B5E">
        <w:rPr>
          <w:sz w:val="24"/>
          <w:szCs w:val="24"/>
        </w:rPr>
        <w:t>; or participating in and complying with a workfare program</w:t>
      </w:r>
      <w:r w:rsidR="008C3B5E" w:rsidRPr="00AE3E77">
        <w:rPr>
          <w:sz w:val="24"/>
          <w:szCs w:val="24"/>
        </w:rPr>
        <w:t>.</w:t>
      </w:r>
    </w:p>
    <w:p w:rsidR="008C3B5E" w:rsidRPr="00567C9A" w:rsidRDefault="008C3B5E" w:rsidP="008C3B5E">
      <w:pPr>
        <w:ind w:left="420"/>
        <w:rPr>
          <w:sz w:val="24"/>
          <w:szCs w:val="24"/>
        </w:rPr>
      </w:pPr>
    </w:p>
    <w:p w:rsidR="00E96206" w:rsidRPr="008C3B5E" w:rsidRDefault="008C3B5E" w:rsidP="008C3B5E">
      <w:pPr>
        <w:ind w:left="420"/>
        <w:rPr>
          <w:sz w:val="24"/>
          <w:szCs w:val="24"/>
        </w:rPr>
      </w:pPr>
      <w:r w:rsidRPr="00567C9A">
        <w:rPr>
          <w:sz w:val="24"/>
          <w:szCs w:val="24"/>
        </w:rPr>
        <w:t xml:space="preserve">Under 7 CFR 273.24(f), upon the request of a State agency, the Food and Nutrition Service (FNS) may waive the applicability of the </w:t>
      </w:r>
      <w:r>
        <w:rPr>
          <w:sz w:val="24"/>
          <w:szCs w:val="24"/>
        </w:rPr>
        <w:t>time limit described above</w:t>
      </w:r>
      <w:r w:rsidRPr="00567C9A">
        <w:rPr>
          <w:sz w:val="24"/>
          <w:szCs w:val="24"/>
        </w:rPr>
        <w:t xml:space="preserve"> for any group of individuals in the State if FNS makes a determination that the area in which the individuals reside does not have a sufficient number of jobs to provide employment for the individuals.</w:t>
      </w:r>
      <w:r>
        <w:rPr>
          <w:sz w:val="24"/>
          <w:szCs w:val="24"/>
        </w:rPr>
        <w:t xml:space="preserve"> </w:t>
      </w:r>
    </w:p>
    <w:p w:rsidR="00E501DD" w:rsidRDefault="00E501DD">
      <w:pPr>
        <w:ind w:left="420"/>
        <w:rPr>
          <w:b/>
          <w:sz w:val="24"/>
          <w:szCs w:val="24"/>
        </w:rPr>
      </w:pPr>
    </w:p>
    <w:p w:rsidR="004051B1" w:rsidRDefault="007772E2" w:rsidP="00292FB4">
      <w:pPr>
        <w:ind w:left="420"/>
        <w:rPr>
          <w:b/>
          <w:sz w:val="24"/>
          <w:szCs w:val="24"/>
        </w:rPr>
      </w:pPr>
      <w:r w:rsidRPr="00E96206">
        <w:rPr>
          <w:b/>
          <w:sz w:val="24"/>
          <w:szCs w:val="24"/>
        </w:rPr>
        <w:t xml:space="preserve">Description of </w:t>
      </w:r>
      <w:r w:rsidR="005D0579">
        <w:rPr>
          <w:b/>
          <w:sz w:val="24"/>
          <w:szCs w:val="24"/>
        </w:rPr>
        <w:t>alternative p</w:t>
      </w:r>
      <w:r w:rsidRPr="00E96206">
        <w:rPr>
          <w:b/>
          <w:sz w:val="24"/>
          <w:szCs w:val="24"/>
        </w:rPr>
        <w:t>rocedures:</w:t>
      </w:r>
      <w:r w:rsidR="00600C5C">
        <w:rPr>
          <w:b/>
          <w:sz w:val="24"/>
          <w:szCs w:val="24"/>
        </w:rPr>
        <w:t xml:space="preserve">  </w:t>
      </w:r>
    </w:p>
    <w:p w:rsidR="004051B1" w:rsidRDefault="004051B1" w:rsidP="00292FB4">
      <w:pPr>
        <w:ind w:left="420"/>
        <w:rPr>
          <w:b/>
          <w:sz w:val="24"/>
          <w:szCs w:val="24"/>
        </w:rPr>
      </w:pPr>
    </w:p>
    <w:p w:rsidR="00292FB4" w:rsidRPr="004051B1" w:rsidRDefault="008C3B5E" w:rsidP="004051B1">
      <w:pPr>
        <w:pStyle w:val="ListParagraph"/>
        <w:numPr>
          <w:ilvl w:val="0"/>
          <w:numId w:val="16"/>
        </w:numPr>
        <w:rPr>
          <w:sz w:val="24"/>
          <w:szCs w:val="24"/>
        </w:rPr>
      </w:pPr>
      <w:r w:rsidRPr="004051B1">
        <w:rPr>
          <w:sz w:val="24"/>
          <w:szCs w:val="24"/>
        </w:rPr>
        <w:t xml:space="preserve">The State of New York </w:t>
      </w:r>
      <w:r w:rsidR="00E73DA7" w:rsidRPr="004051B1">
        <w:rPr>
          <w:sz w:val="24"/>
          <w:szCs w:val="24"/>
        </w:rPr>
        <w:t>request</w:t>
      </w:r>
      <w:r w:rsidR="00DF632A">
        <w:rPr>
          <w:sz w:val="24"/>
          <w:szCs w:val="24"/>
        </w:rPr>
        <w:t>s</w:t>
      </w:r>
      <w:r w:rsidR="00E73DA7" w:rsidRPr="004051B1">
        <w:rPr>
          <w:sz w:val="24"/>
          <w:szCs w:val="24"/>
        </w:rPr>
        <w:t xml:space="preserve"> to </w:t>
      </w:r>
      <w:r w:rsidRPr="004051B1">
        <w:rPr>
          <w:sz w:val="24"/>
          <w:szCs w:val="24"/>
        </w:rPr>
        <w:t>waive the ABAWD time limit for individuals living in 20 counties, 6 cities, and 4 community districts in the State</w:t>
      </w:r>
      <w:r w:rsidR="004051B1" w:rsidRPr="004051B1">
        <w:rPr>
          <w:sz w:val="24"/>
          <w:szCs w:val="24"/>
        </w:rPr>
        <w:t xml:space="preserve"> based on having an unemployment rate that is 20% or more above the national average</w:t>
      </w:r>
      <w:r w:rsidRPr="004051B1">
        <w:rPr>
          <w:sz w:val="24"/>
          <w:szCs w:val="24"/>
        </w:rPr>
        <w:t xml:space="preserve">. </w:t>
      </w:r>
      <w:r w:rsidR="00292FB4" w:rsidRPr="004051B1">
        <w:rPr>
          <w:sz w:val="24"/>
          <w:szCs w:val="24"/>
        </w:rPr>
        <w:t xml:space="preserve">   </w:t>
      </w:r>
    </w:p>
    <w:p w:rsidR="00E96206" w:rsidRDefault="00E96206" w:rsidP="00E96206">
      <w:pPr>
        <w:ind w:left="420"/>
        <w:rPr>
          <w:b/>
          <w:sz w:val="24"/>
          <w:szCs w:val="24"/>
        </w:rPr>
      </w:pPr>
    </w:p>
    <w:p w:rsidR="004051B1" w:rsidRPr="004051B1" w:rsidRDefault="004051B1" w:rsidP="004051B1">
      <w:pPr>
        <w:pStyle w:val="ListParagraph"/>
        <w:numPr>
          <w:ilvl w:val="0"/>
          <w:numId w:val="16"/>
        </w:numPr>
        <w:rPr>
          <w:sz w:val="24"/>
          <w:szCs w:val="24"/>
        </w:rPr>
      </w:pPr>
      <w:r w:rsidRPr="004051B1">
        <w:rPr>
          <w:sz w:val="24"/>
          <w:szCs w:val="24"/>
        </w:rPr>
        <w:t>New York seeks to waive ABAWD requirements for homeless individuals who have no residence and reside on the streets.  These individuals do not identify as residing in any particular area of the State and therefore it is not feasible to determine whether or not they reside in an area of the State where a waiver of the ABAWD requirements is in place.  While many of these individuals may be exempt from the work requirement due to being physically or mentally unfit, it is often a challenge to document these limitations due to the enormous difficulty of getting these adults to attend a medical appointment.</w:t>
      </w:r>
    </w:p>
    <w:p w:rsidR="004051B1" w:rsidRDefault="004051B1" w:rsidP="00E96206">
      <w:pPr>
        <w:ind w:left="420"/>
        <w:rPr>
          <w:sz w:val="24"/>
          <w:szCs w:val="24"/>
        </w:rPr>
      </w:pPr>
    </w:p>
    <w:p w:rsidR="00423E27" w:rsidRPr="004051B1" w:rsidRDefault="00423E27" w:rsidP="004051B1">
      <w:pPr>
        <w:pStyle w:val="ListParagraph"/>
        <w:numPr>
          <w:ilvl w:val="0"/>
          <w:numId w:val="16"/>
        </w:numPr>
        <w:rPr>
          <w:sz w:val="24"/>
          <w:szCs w:val="24"/>
        </w:rPr>
      </w:pPr>
      <w:r w:rsidRPr="004051B1">
        <w:rPr>
          <w:sz w:val="24"/>
          <w:szCs w:val="24"/>
        </w:rPr>
        <w:lastRenderedPageBreak/>
        <w:t>New York seeks to waive AB</w:t>
      </w:r>
      <w:r w:rsidR="004051B1" w:rsidRPr="004051B1">
        <w:rPr>
          <w:sz w:val="24"/>
          <w:szCs w:val="24"/>
        </w:rPr>
        <w:t>A</w:t>
      </w:r>
      <w:r w:rsidRPr="004051B1">
        <w:rPr>
          <w:sz w:val="24"/>
          <w:szCs w:val="24"/>
        </w:rPr>
        <w:t>WD requirements for individuals who are homeless.  Each social services district determines where a homeless individual will be placed based on the availability of a shelter or other temporary housing.  At times, homeless individuals are required to be placed out of county.  The SNAP regulations include in the definition of “homeless individual,” an individual whose primary residence is a supervised shelter designed to provide temporary accommodations</w:t>
      </w:r>
      <w:r w:rsidR="0057350F">
        <w:rPr>
          <w:sz w:val="24"/>
          <w:szCs w:val="24"/>
        </w:rPr>
        <w:t xml:space="preserve"> (</w:t>
      </w:r>
      <w:r w:rsidRPr="004051B1">
        <w:rPr>
          <w:sz w:val="24"/>
          <w:szCs w:val="24"/>
        </w:rPr>
        <w:t>7 CFR 271.2</w:t>
      </w:r>
      <w:r w:rsidR="0057350F">
        <w:rPr>
          <w:sz w:val="24"/>
          <w:szCs w:val="24"/>
        </w:rPr>
        <w:t>)</w:t>
      </w:r>
      <w:r w:rsidRPr="004051B1">
        <w:rPr>
          <w:sz w:val="24"/>
          <w:szCs w:val="24"/>
        </w:rPr>
        <w:t>.  The SNAP regulations recognize that this population is difficult to track and state that residency requirements do not need to be verified for homeless households</w:t>
      </w:r>
      <w:r w:rsidR="0057350F">
        <w:rPr>
          <w:sz w:val="24"/>
          <w:szCs w:val="24"/>
        </w:rPr>
        <w:t xml:space="preserve"> (</w:t>
      </w:r>
      <w:r w:rsidRPr="004051B1">
        <w:rPr>
          <w:sz w:val="24"/>
          <w:szCs w:val="24"/>
        </w:rPr>
        <w:t>7 CFR 273.2(f)(1)(vi)</w:t>
      </w:r>
      <w:r w:rsidR="0057350F">
        <w:rPr>
          <w:sz w:val="24"/>
          <w:szCs w:val="24"/>
        </w:rPr>
        <w:t>)</w:t>
      </w:r>
      <w:r w:rsidRPr="004051B1">
        <w:rPr>
          <w:sz w:val="24"/>
          <w:szCs w:val="24"/>
        </w:rPr>
        <w:t xml:space="preserve">.  Additionally, the frequent movement of these individuals make it difficult to ensure the provision of work requirement notices. </w:t>
      </w:r>
      <w:r w:rsidR="00C07BEE">
        <w:rPr>
          <w:sz w:val="24"/>
          <w:szCs w:val="24"/>
        </w:rPr>
        <w:t xml:space="preserve"> </w:t>
      </w:r>
      <w:r w:rsidRPr="004051B1">
        <w:rPr>
          <w:sz w:val="24"/>
          <w:szCs w:val="24"/>
        </w:rPr>
        <w:t xml:space="preserve">Homeless individuals do not necessarily control where they reside, these individuals move frequently and these individuals are difficult to track and it is for these reasons that New York seeks a waiver of ABAWD work requirements for homeless individuals.  </w:t>
      </w:r>
    </w:p>
    <w:p w:rsidR="00423E27" w:rsidRPr="003E7D46" w:rsidRDefault="00423E27" w:rsidP="00E96206">
      <w:pPr>
        <w:ind w:left="420"/>
        <w:rPr>
          <w:sz w:val="24"/>
          <w:szCs w:val="24"/>
        </w:rPr>
      </w:pPr>
    </w:p>
    <w:p w:rsidR="00BC03FA" w:rsidRPr="004051B1" w:rsidRDefault="003E7D46" w:rsidP="004051B1">
      <w:pPr>
        <w:pStyle w:val="ListParagraph"/>
        <w:numPr>
          <w:ilvl w:val="0"/>
          <w:numId w:val="16"/>
        </w:numPr>
        <w:rPr>
          <w:b/>
          <w:sz w:val="24"/>
          <w:szCs w:val="24"/>
        </w:rPr>
      </w:pPr>
      <w:r w:rsidRPr="004051B1">
        <w:rPr>
          <w:sz w:val="24"/>
          <w:szCs w:val="24"/>
        </w:rPr>
        <w:t>New York State seeks a</w:t>
      </w:r>
      <w:r w:rsidR="00423E27" w:rsidRPr="004051B1">
        <w:rPr>
          <w:sz w:val="24"/>
          <w:szCs w:val="24"/>
        </w:rPr>
        <w:t xml:space="preserve"> waiver of homeless individuals residing in areas of the State that have jurisdictional waivers that do not cover all individuals in the social services district/county or City of New York. </w:t>
      </w:r>
      <w:r w:rsidR="00C07BEE">
        <w:rPr>
          <w:sz w:val="24"/>
          <w:szCs w:val="24"/>
        </w:rPr>
        <w:t xml:space="preserve"> </w:t>
      </w:r>
      <w:r w:rsidR="00BC03FA" w:rsidRPr="004051B1">
        <w:rPr>
          <w:sz w:val="24"/>
          <w:szCs w:val="24"/>
        </w:rPr>
        <w:t xml:space="preserve">It is </w:t>
      </w:r>
      <w:r w:rsidRPr="004051B1">
        <w:rPr>
          <w:sz w:val="24"/>
          <w:szCs w:val="24"/>
        </w:rPr>
        <w:t>the social services district that typically determines where the homeless individual will reside base</w:t>
      </w:r>
      <w:r w:rsidR="00BC03FA" w:rsidRPr="004051B1">
        <w:rPr>
          <w:sz w:val="24"/>
          <w:szCs w:val="24"/>
        </w:rPr>
        <w:t xml:space="preserve">d on </w:t>
      </w:r>
      <w:r w:rsidRPr="004051B1">
        <w:rPr>
          <w:sz w:val="24"/>
          <w:szCs w:val="24"/>
        </w:rPr>
        <w:t xml:space="preserve">the availability of </w:t>
      </w:r>
      <w:r w:rsidR="00BC03FA" w:rsidRPr="004051B1">
        <w:rPr>
          <w:sz w:val="24"/>
          <w:szCs w:val="24"/>
        </w:rPr>
        <w:t>shelter</w:t>
      </w:r>
      <w:r w:rsidRPr="004051B1">
        <w:rPr>
          <w:sz w:val="24"/>
          <w:szCs w:val="24"/>
        </w:rPr>
        <w:t>/temporary housing</w:t>
      </w:r>
      <w:r w:rsidR="00BC03FA" w:rsidRPr="004051B1">
        <w:rPr>
          <w:sz w:val="24"/>
          <w:szCs w:val="24"/>
        </w:rPr>
        <w:t xml:space="preserve">.  The SNAP regulations include in the definition of “homeless individual,” an individual whose primary residence is a supervised shelter designed to provide temporary accommodations.  </w:t>
      </w:r>
      <w:r w:rsidR="00BC03FA" w:rsidRPr="004051B1">
        <w:rPr>
          <w:sz w:val="24"/>
          <w:szCs w:val="24"/>
          <w:u w:val="single"/>
        </w:rPr>
        <w:t>See</w:t>
      </w:r>
      <w:r w:rsidR="00BC03FA" w:rsidRPr="004051B1">
        <w:rPr>
          <w:sz w:val="24"/>
          <w:szCs w:val="24"/>
        </w:rPr>
        <w:t xml:space="preserve"> 7 CFR 271.2.  The SNAP regulations recognize that this population is difficult to track and state that residency requirements do not need to be verified for homeless households.  7 CFR 273.2(f)(1)(vi).  </w:t>
      </w:r>
      <w:r w:rsidRPr="004051B1">
        <w:rPr>
          <w:sz w:val="24"/>
          <w:szCs w:val="24"/>
        </w:rPr>
        <w:t>For example, o</w:t>
      </w:r>
      <w:r w:rsidR="00BC03FA" w:rsidRPr="004051B1">
        <w:rPr>
          <w:sz w:val="24"/>
          <w:szCs w:val="24"/>
        </w:rPr>
        <w:t xml:space="preserve">ne of the largest single adult shelters </w:t>
      </w:r>
      <w:r w:rsidRPr="004051B1">
        <w:rPr>
          <w:sz w:val="24"/>
          <w:szCs w:val="24"/>
        </w:rPr>
        <w:t xml:space="preserve">in the City of New York </w:t>
      </w:r>
      <w:r w:rsidR="00BC03FA" w:rsidRPr="004051B1">
        <w:rPr>
          <w:sz w:val="24"/>
          <w:szCs w:val="24"/>
        </w:rPr>
        <w:t xml:space="preserve">is the Bellevue Men’s Shelter in Manhattan which provides intake for single homeless men.  However, the temporary placement in this facility does not reflect the origin or permanent address of these clients. </w:t>
      </w:r>
      <w:r w:rsidRPr="004051B1">
        <w:rPr>
          <w:sz w:val="24"/>
          <w:szCs w:val="24"/>
        </w:rPr>
        <w:t xml:space="preserve"> Additionally, p</w:t>
      </w:r>
      <w:r w:rsidR="00BC03FA" w:rsidRPr="004051B1">
        <w:rPr>
          <w:sz w:val="24"/>
          <w:szCs w:val="24"/>
        </w:rPr>
        <w:t>lacement in a shelter is by nature unstable housing and people frequently cycle in and out of temporary shelter both within and across boroughs which makes them difficult to track.  It is operationally complicated and confusing for the client if every time an individual moved in and out of Manhattan they would need to be given notice of ABAWD requirements so there could be multiple notices in a year as people cycle in and out of shelter.  The lack of a permanent</w:t>
      </w:r>
      <w:r w:rsidR="00522BDD">
        <w:rPr>
          <w:sz w:val="24"/>
          <w:szCs w:val="24"/>
        </w:rPr>
        <w:t xml:space="preserve"> residence imposes additional </w:t>
      </w:r>
      <w:r w:rsidR="00BC03FA" w:rsidRPr="004051B1">
        <w:rPr>
          <w:sz w:val="24"/>
          <w:szCs w:val="24"/>
        </w:rPr>
        <w:t xml:space="preserve">difficulties as adequate notice of work requirements needs to be provided.  For these reasons, </w:t>
      </w:r>
      <w:r w:rsidRPr="004051B1">
        <w:rPr>
          <w:sz w:val="24"/>
          <w:szCs w:val="24"/>
        </w:rPr>
        <w:t xml:space="preserve">New York </w:t>
      </w:r>
      <w:r w:rsidR="00BC03FA" w:rsidRPr="004051B1">
        <w:rPr>
          <w:sz w:val="24"/>
          <w:szCs w:val="24"/>
        </w:rPr>
        <w:t>request</w:t>
      </w:r>
      <w:r w:rsidRPr="004051B1">
        <w:rPr>
          <w:sz w:val="24"/>
          <w:szCs w:val="24"/>
        </w:rPr>
        <w:t xml:space="preserve">s a waiver of ABAWD requirements for </w:t>
      </w:r>
      <w:r w:rsidR="00BC03FA" w:rsidRPr="004051B1">
        <w:rPr>
          <w:sz w:val="24"/>
          <w:szCs w:val="24"/>
        </w:rPr>
        <w:t>the sheltered homeless. </w:t>
      </w:r>
    </w:p>
    <w:p w:rsidR="00BC03FA" w:rsidRPr="00656A81" w:rsidRDefault="00BC03FA" w:rsidP="00E96206">
      <w:pPr>
        <w:ind w:left="420"/>
        <w:rPr>
          <w:b/>
          <w:sz w:val="24"/>
          <w:szCs w:val="24"/>
        </w:rPr>
      </w:pPr>
    </w:p>
    <w:p w:rsidR="003E7D46" w:rsidRPr="00656A81" w:rsidRDefault="004051B1" w:rsidP="004051B1">
      <w:pPr>
        <w:pStyle w:val="ListParagraph"/>
        <w:numPr>
          <w:ilvl w:val="0"/>
          <w:numId w:val="16"/>
        </w:numPr>
        <w:rPr>
          <w:b/>
          <w:sz w:val="24"/>
          <w:szCs w:val="24"/>
        </w:rPr>
      </w:pPr>
      <w:r w:rsidRPr="00656A81">
        <w:rPr>
          <w:sz w:val="24"/>
          <w:szCs w:val="24"/>
        </w:rPr>
        <w:t>In addition to the other boroughs</w:t>
      </w:r>
      <w:r w:rsidR="0057350F" w:rsidRPr="00656A81">
        <w:rPr>
          <w:sz w:val="24"/>
          <w:szCs w:val="24"/>
        </w:rPr>
        <w:t xml:space="preserve"> of New York City</w:t>
      </w:r>
      <w:r w:rsidRPr="00656A81">
        <w:rPr>
          <w:sz w:val="24"/>
          <w:szCs w:val="24"/>
        </w:rPr>
        <w:t xml:space="preserve">, </w:t>
      </w:r>
      <w:r w:rsidR="0057350F" w:rsidRPr="00656A81">
        <w:rPr>
          <w:sz w:val="24"/>
          <w:szCs w:val="24"/>
        </w:rPr>
        <w:t>New York r</w:t>
      </w:r>
      <w:r w:rsidRPr="00656A81">
        <w:rPr>
          <w:sz w:val="24"/>
          <w:szCs w:val="24"/>
        </w:rPr>
        <w:t xml:space="preserve">equests a waiver of ABAWD work requirements for </w:t>
      </w:r>
      <w:r w:rsidR="0057350F" w:rsidRPr="00656A81">
        <w:rPr>
          <w:sz w:val="24"/>
          <w:szCs w:val="24"/>
        </w:rPr>
        <w:t xml:space="preserve">the balance of </w:t>
      </w:r>
      <w:r w:rsidRPr="00656A81">
        <w:rPr>
          <w:sz w:val="24"/>
          <w:szCs w:val="24"/>
        </w:rPr>
        <w:t>Manhattan (below 96</w:t>
      </w:r>
      <w:r w:rsidRPr="00656A81">
        <w:rPr>
          <w:sz w:val="24"/>
          <w:szCs w:val="24"/>
          <w:vertAlign w:val="superscript"/>
        </w:rPr>
        <w:t>th</w:t>
      </w:r>
      <w:r w:rsidRPr="00656A81">
        <w:rPr>
          <w:sz w:val="24"/>
          <w:szCs w:val="24"/>
        </w:rPr>
        <w:t xml:space="preserve"> street) on the basis that this geographic area does not have a sufficient number </w:t>
      </w:r>
      <w:r w:rsidR="00A83654">
        <w:rPr>
          <w:sz w:val="24"/>
          <w:szCs w:val="24"/>
        </w:rPr>
        <w:t xml:space="preserve">of </w:t>
      </w:r>
      <w:r w:rsidRPr="00656A81">
        <w:rPr>
          <w:sz w:val="24"/>
          <w:szCs w:val="24"/>
        </w:rPr>
        <w:t xml:space="preserve">low-skill jobs to provide employment for these individuals.  For the minimal low-skill job placements that do exist in this geographic area, </w:t>
      </w:r>
      <w:r w:rsidR="0057350F" w:rsidRPr="00656A81">
        <w:rPr>
          <w:sz w:val="24"/>
          <w:szCs w:val="24"/>
        </w:rPr>
        <w:t xml:space="preserve">the City must </w:t>
      </w:r>
      <w:r w:rsidRPr="00656A81">
        <w:rPr>
          <w:sz w:val="24"/>
          <w:szCs w:val="24"/>
        </w:rPr>
        <w:t xml:space="preserve">prioritize placement of its </w:t>
      </w:r>
      <w:r w:rsidR="0057350F" w:rsidRPr="00656A81">
        <w:rPr>
          <w:sz w:val="24"/>
          <w:szCs w:val="24"/>
        </w:rPr>
        <w:t xml:space="preserve">public assistance </w:t>
      </w:r>
      <w:r w:rsidRPr="00656A81">
        <w:rPr>
          <w:sz w:val="24"/>
          <w:szCs w:val="24"/>
        </w:rPr>
        <w:t xml:space="preserve">population in order to meet </w:t>
      </w:r>
      <w:r w:rsidR="0057350F" w:rsidRPr="00656A81">
        <w:rPr>
          <w:sz w:val="24"/>
          <w:szCs w:val="24"/>
        </w:rPr>
        <w:t xml:space="preserve">federal </w:t>
      </w:r>
      <w:r w:rsidRPr="00656A81">
        <w:rPr>
          <w:sz w:val="24"/>
          <w:szCs w:val="24"/>
        </w:rPr>
        <w:t xml:space="preserve">work requirements.  Since </w:t>
      </w:r>
      <w:r w:rsidR="0057350F" w:rsidRPr="00656A81">
        <w:rPr>
          <w:sz w:val="24"/>
          <w:szCs w:val="24"/>
        </w:rPr>
        <w:t xml:space="preserve">these recipients of public assistance also receive SNAP </w:t>
      </w:r>
      <w:r w:rsidR="0057350F" w:rsidRPr="00656A81">
        <w:rPr>
          <w:sz w:val="24"/>
          <w:szCs w:val="24"/>
        </w:rPr>
        <w:lastRenderedPageBreak/>
        <w:t xml:space="preserve">benefits, these work placements will benefit needy </w:t>
      </w:r>
      <w:r w:rsidRPr="00656A81">
        <w:rPr>
          <w:sz w:val="24"/>
          <w:szCs w:val="24"/>
        </w:rPr>
        <w:t>SNAP recipients</w:t>
      </w:r>
      <w:r w:rsidR="0057350F" w:rsidRPr="00656A81">
        <w:rPr>
          <w:sz w:val="24"/>
          <w:szCs w:val="24"/>
        </w:rPr>
        <w:t xml:space="preserve"> who will r</w:t>
      </w:r>
      <w:r w:rsidRPr="00656A81">
        <w:rPr>
          <w:sz w:val="24"/>
          <w:szCs w:val="24"/>
        </w:rPr>
        <w:t xml:space="preserve">eceive access to limited employment opportunities.  Moreover, </w:t>
      </w:r>
      <w:r w:rsidR="0057350F" w:rsidRPr="00656A81">
        <w:rPr>
          <w:sz w:val="24"/>
          <w:szCs w:val="24"/>
        </w:rPr>
        <w:t xml:space="preserve">census tract data demonstrates that most areas of Manhattan have a high rate of unemployment.  </w:t>
      </w:r>
      <w:r w:rsidRPr="00656A81">
        <w:rPr>
          <w:sz w:val="24"/>
          <w:szCs w:val="24"/>
        </w:rPr>
        <w:t>  </w:t>
      </w:r>
    </w:p>
    <w:p w:rsidR="00522BDD" w:rsidRPr="00656A81" w:rsidRDefault="00522BDD" w:rsidP="00522BDD">
      <w:pPr>
        <w:pStyle w:val="ListParagraph"/>
        <w:rPr>
          <w:b/>
          <w:sz w:val="24"/>
          <w:szCs w:val="24"/>
        </w:rPr>
      </w:pPr>
    </w:p>
    <w:p w:rsidR="00522BDD" w:rsidRPr="00656A81" w:rsidRDefault="00522BDD" w:rsidP="00C07BEE">
      <w:pPr>
        <w:pStyle w:val="NormalWeb"/>
        <w:numPr>
          <w:ilvl w:val="0"/>
          <w:numId w:val="16"/>
        </w:numPr>
        <w:shd w:val="clear" w:color="auto" w:fill="FFFFFF"/>
        <w:rPr>
          <w:rFonts w:ascii="Calibri" w:hAnsi="Calibri" w:cs="Calibri"/>
        </w:rPr>
      </w:pPr>
      <w:r w:rsidRPr="00656A81">
        <w:t xml:space="preserve">New York requests a waiver of ABAWD requirements for individuals residing in public housing. </w:t>
      </w:r>
      <w:r w:rsidR="00C07BEE">
        <w:t xml:space="preserve"> </w:t>
      </w:r>
      <w:r w:rsidRPr="00656A81">
        <w:t xml:space="preserve">These individuals are already subject to community service/economic self-sufficiency requirements if able to work and applying ABAWD requirements to this population would be duplicative and possibly confusing to residents.    </w:t>
      </w:r>
    </w:p>
    <w:p w:rsidR="00522BDD" w:rsidRPr="004051B1" w:rsidRDefault="00522BDD" w:rsidP="00C07BEE">
      <w:pPr>
        <w:pStyle w:val="ListParagraph"/>
        <w:ind w:left="780"/>
        <w:rPr>
          <w:b/>
          <w:sz w:val="24"/>
          <w:szCs w:val="24"/>
        </w:rPr>
      </w:pPr>
    </w:p>
    <w:p w:rsidR="00522BDD" w:rsidRDefault="005D0579" w:rsidP="008C3B5E">
      <w:pPr>
        <w:numPr>
          <w:ilvl w:val="0"/>
          <w:numId w:val="1"/>
        </w:numPr>
        <w:rPr>
          <w:b/>
          <w:sz w:val="24"/>
          <w:szCs w:val="24"/>
        </w:rPr>
      </w:pPr>
      <w:r w:rsidRPr="003E7D46">
        <w:rPr>
          <w:b/>
          <w:sz w:val="24"/>
          <w:szCs w:val="24"/>
        </w:rPr>
        <w:t>Justification for r</w:t>
      </w:r>
      <w:r w:rsidR="007772E2" w:rsidRPr="003E7D46">
        <w:rPr>
          <w:b/>
          <w:sz w:val="24"/>
          <w:szCs w:val="24"/>
        </w:rPr>
        <w:t xml:space="preserve">equest: </w:t>
      </w:r>
      <w:r w:rsidR="00600C5C" w:rsidRPr="003E7D46">
        <w:rPr>
          <w:b/>
          <w:sz w:val="24"/>
          <w:szCs w:val="24"/>
        </w:rPr>
        <w:t xml:space="preserve"> </w:t>
      </w:r>
    </w:p>
    <w:p w:rsidR="00522BDD" w:rsidRDefault="00522BDD" w:rsidP="00522BDD">
      <w:pPr>
        <w:ind w:left="420"/>
        <w:rPr>
          <w:b/>
          <w:sz w:val="24"/>
          <w:szCs w:val="24"/>
        </w:rPr>
      </w:pPr>
    </w:p>
    <w:p w:rsidR="00E96206" w:rsidRPr="00522BDD" w:rsidRDefault="008C3B5E" w:rsidP="00522BDD">
      <w:pPr>
        <w:pStyle w:val="ListParagraph"/>
        <w:numPr>
          <w:ilvl w:val="0"/>
          <w:numId w:val="18"/>
        </w:numPr>
        <w:ind w:left="720"/>
        <w:rPr>
          <w:b/>
          <w:sz w:val="24"/>
          <w:szCs w:val="24"/>
        </w:rPr>
      </w:pPr>
      <w:r w:rsidRPr="00522BDD">
        <w:rPr>
          <w:sz w:val="24"/>
          <w:szCs w:val="24"/>
        </w:rPr>
        <w:t xml:space="preserve">Under SNAP regulations at 7 CFR 273.24(f)(2), areas may qualify for an ABAWD time limit waiver if they have insufficient jobs. </w:t>
      </w:r>
      <w:r w:rsidR="00C07BEE">
        <w:rPr>
          <w:sz w:val="24"/>
          <w:szCs w:val="24"/>
        </w:rPr>
        <w:t xml:space="preserve"> </w:t>
      </w:r>
      <w:r w:rsidRPr="00522BDD">
        <w:rPr>
          <w:sz w:val="24"/>
          <w:szCs w:val="24"/>
        </w:rPr>
        <w:t>To support this claim, states m</w:t>
      </w:r>
      <w:r w:rsidR="00E73DA7" w:rsidRPr="00522BDD">
        <w:rPr>
          <w:sz w:val="24"/>
          <w:szCs w:val="24"/>
        </w:rPr>
        <w:t xml:space="preserve">ay </w:t>
      </w:r>
      <w:r w:rsidRPr="00522BDD">
        <w:rPr>
          <w:sz w:val="24"/>
          <w:szCs w:val="24"/>
        </w:rPr>
        <w:t>submit evidence that an area has a 24-month unemployment rate average that exceeds the national average for this same 24-month time period by 20 percent.</w:t>
      </w:r>
      <w:r w:rsidR="00C07BEE">
        <w:rPr>
          <w:sz w:val="24"/>
          <w:szCs w:val="24"/>
        </w:rPr>
        <w:t xml:space="preserve"> </w:t>
      </w:r>
      <w:r w:rsidRPr="00522BDD">
        <w:rPr>
          <w:sz w:val="24"/>
          <w:szCs w:val="24"/>
        </w:rPr>
        <w:t xml:space="preserve"> </w:t>
      </w:r>
      <w:r w:rsidR="00E73DA7" w:rsidRPr="00522BDD">
        <w:rPr>
          <w:sz w:val="24"/>
          <w:szCs w:val="24"/>
        </w:rPr>
        <w:t>Federal regulations [</w:t>
      </w:r>
      <w:r w:rsidRPr="00522BDD">
        <w:rPr>
          <w:sz w:val="24"/>
          <w:szCs w:val="24"/>
        </w:rPr>
        <w:t>7 CFR 273.24(f)(6)</w:t>
      </w:r>
      <w:r w:rsidR="00E73DA7" w:rsidRPr="00522BDD">
        <w:rPr>
          <w:sz w:val="24"/>
          <w:szCs w:val="24"/>
        </w:rPr>
        <w:t>]</w:t>
      </w:r>
      <w:r w:rsidRPr="00522BDD">
        <w:rPr>
          <w:sz w:val="24"/>
          <w:szCs w:val="24"/>
        </w:rPr>
        <w:t xml:space="preserve"> provide that States may define areas to be waived.</w:t>
      </w:r>
    </w:p>
    <w:p w:rsidR="008C3B5E" w:rsidRDefault="008C3B5E" w:rsidP="008C3B5E">
      <w:pPr>
        <w:pStyle w:val="ListParagraph"/>
        <w:rPr>
          <w:b/>
          <w:sz w:val="24"/>
          <w:szCs w:val="24"/>
        </w:rPr>
      </w:pPr>
    </w:p>
    <w:p w:rsidR="008C3B5E" w:rsidRDefault="008C3B5E" w:rsidP="00522BDD">
      <w:pPr>
        <w:ind w:left="720"/>
        <w:rPr>
          <w:sz w:val="24"/>
          <w:szCs w:val="24"/>
        </w:rPr>
      </w:pPr>
      <w:r w:rsidRPr="008C3B5E">
        <w:rPr>
          <w:sz w:val="24"/>
          <w:szCs w:val="24"/>
        </w:rPr>
        <w:t xml:space="preserve">The State </w:t>
      </w:r>
      <w:r>
        <w:rPr>
          <w:sz w:val="24"/>
          <w:szCs w:val="24"/>
        </w:rPr>
        <w:t xml:space="preserve">of New York has two clusters of contiguous counties that are eligible for a waiver based on regional aggregate unemployment rates that are 20 percent above the national average. </w:t>
      </w:r>
      <w:r w:rsidR="00D00976">
        <w:rPr>
          <w:sz w:val="24"/>
          <w:szCs w:val="24"/>
        </w:rPr>
        <w:t xml:space="preserve"> </w:t>
      </w:r>
      <w:r>
        <w:rPr>
          <w:sz w:val="24"/>
          <w:szCs w:val="24"/>
        </w:rPr>
        <w:t xml:space="preserve">One cluster of 15 contiguous counties, </w:t>
      </w:r>
      <w:r w:rsidR="00D00976">
        <w:rPr>
          <w:sz w:val="24"/>
          <w:szCs w:val="24"/>
        </w:rPr>
        <w:t xml:space="preserve">primarily </w:t>
      </w:r>
      <w:r>
        <w:rPr>
          <w:sz w:val="24"/>
          <w:szCs w:val="24"/>
        </w:rPr>
        <w:t>in the northern part of the state, is eligible based on having an unemployment rate that is</w:t>
      </w:r>
      <w:r w:rsidR="00D00976">
        <w:rPr>
          <w:sz w:val="24"/>
          <w:szCs w:val="24"/>
        </w:rPr>
        <w:t xml:space="preserve"> </w:t>
      </w:r>
      <w:r>
        <w:rPr>
          <w:sz w:val="24"/>
          <w:szCs w:val="24"/>
        </w:rPr>
        <w:t xml:space="preserve">20 percent above the national average for the 24-month period of January 2013-December 2014. </w:t>
      </w:r>
      <w:r w:rsidR="00D00976">
        <w:rPr>
          <w:sz w:val="24"/>
          <w:szCs w:val="24"/>
        </w:rPr>
        <w:t xml:space="preserve"> </w:t>
      </w:r>
      <w:r>
        <w:rPr>
          <w:sz w:val="24"/>
          <w:szCs w:val="24"/>
        </w:rPr>
        <w:t xml:space="preserve">During this time period the national average of unemployment was 6.8 percent (6.77 percent unrounded); 20 percent above that is 8.1 percent. </w:t>
      </w:r>
    </w:p>
    <w:p w:rsidR="008C3B5E" w:rsidRDefault="008C3B5E" w:rsidP="008C3B5E">
      <w:pPr>
        <w:ind w:left="420"/>
        <w:rPr>
          <w:sz w:val="24"/>
          <w:szCs w:val="24"/>
        </w:rPr>
      </w:pPr>
    </w:p>
    <w:tbl>
      <w:tblPr>
        <w:tblW w:w="7290" w:type="dxa"/>
        <w:tblInd w:w="685" w:type="dxa"/>
        <w:tblLook w:val="04A0" w:firstRow="1" w:lastRow="0" w:firstColumn="1" w:lastColumn="0" w:noHBand="0" w:noVBand="1"/>
      </w:tblPr>
      <w:tblGrid>
        <w:gridCol w:w="3060"/>
        <w:gridCol w:w="1440"/>
        <w:gridCol w:w="1440"/>
        <w:gridCol w:w="1350"/>
      </w:tblGrid>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b/>
                <w:bCs/>
                <w:sz w:val="16"/>
                <w:szCs w:val="16"/>
                <w:u w:val="single"/>
              </w:rPr>
            </w:pPr>
            <w:r w:rsidRPr="008C3B5E">
              <w:rPr>
                <w:rFonts w:ascii="Arial" w:hAnsi="Arial" w:cs="Arial"/>
                <w:b/>
                <w:bCs/>
                <w:sz w:val="16"/>
                <w:szCs w:val="16"/>
                <w:u w:val="single"/>
              </w:rPr>
              <w:t>New York Region</w:t>
            </w:r>
          </w:p>
        </w:tc>
        <w:tc>
          <w:tcPr>
            <w:tcW w:w="1440" w:type="dxa"/>
            <w:tcBorders>
              <w:top w:val="nil"/>
              <w:left w:val="nil"/>
              <w:bottom w:val="nil"/>
              <w:right w:val="nil"/>
            </w:tcBorders>
            <w:shd w:val="clear" w:color="auto" w:fill="auto"/>
            <w:noWrap/>
            <w:vAlign w:val="bottom"/>
            <w:hideMark/>
          </w:tcPr>
          <w:p w:rsidR="008C3B5E" w:rsidRPr="008C3B5E" w:rsidRDefault="008C3B5E" w:rsidP="00D00976">
            <w:pPr>
              <w:jc w:val="center"/>
              <w:rPr>
                <w:rFonts w:ascii="Arial" w:hAnsi="Arial" w:cs="Arial"/>
                <w:b/>
                <w:bCs/>
                <w:sz w:val="16"/>
                <w:szCs w:val="16"/>
                <w:u w:val="single"/>
              </w:rPr>
            </w:pPr>
            <w:r>
              <w:rPr>
                <w:rFonts w:ascii="Arial" w:hAnsi="Arial" w:cs="Arial"/>
                <w:b/>
                <w:bCs/>
                <w:sz w:val="16"/>
                <w:szCs w:val="16"/>
                <w:u w:val="single"/>
              </w:rPr>
              <w:t>Total labor force, January 2013-December 2014</w:t>
            </w:r>
          </w:p>
        </w:tc>
        <w:tc>
          <w:tcPr>
            <w:tcW w:w="1440" w:type="dxa"/>
            <w:tcBorders>
              <w:top w:val="nil"/>
              <w:left w:val="nil"/>
              <w:bottom w:val="nil"/>
              <w:right w:val="nil"/>
            </w:tcBorders>
          </w:tcPr>
          <w:p w:rsidR="008C3B5E" w:rsidRPr="008C3B5E" w:rsidRDefault="008C3B5E" w:rsidP="00D00976">
            <w:pPr>
              <w:jc w:val="center"/>
              <w:rPr>
                <w:rFonts w:ascii="Arial" w:hAnsi="Arial" w:cs="Arial"/>
                <w:b/>
                <w:bCs/>
                <w:sz w:val="16"/>
                <w:szCs w:val="16"/>
                <w:u w:val="single"/>
              </w:rPr>
            </w:pPr>
            <w:r>
              <w:rPr>
                <w:rFonts w:ascii="Arial" w:hAnsi="Arial" w:cs="Arial"/>
                <w:b/>
                <w:bCs/>
                <w:sz w:val="16"/>
                <w:szCs w:val="16"/>
                <w:u w:val="single"/>
              </w:rPr>
              <w:t>Total unemployment, January 2013-December 2014</w:t>
            </w:r>
          </w:p>
        </w:tc>
        <w:tc>
          <w:tcPr>
            <w:tcW w:w="1350" w:type="dxa"/>
            <w:tcBorders>
              <w:top w:val="nil"/>
              <w:left w:val="nil"/>
              <w:bottom w:val="nil"/>
              <w:right w:val="nil"/>
            </w:tcBorders>
          </w:tcPr>
          <w:p w:rsidR="008C3B5E" w:rsidRPr="008C3B5E" w:rsidRDefault="008C3B5E" w:rsidP="008C3B5E">
            <w:pPr>
              <w:rPr>
                <w:rFonts w:ascii="Arial" w:hAnsi="Arial" w:cs="Arial"/>
                <w:b/>
                <w:bCs/>
                <w:sz w:val="16"/>
                <w:szCs w:val="16"/>
                <w:u w:val="single"/>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Clinton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877,310</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66,190</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Delaware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494,512</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35,544</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Essex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427,743</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32,561</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Franklin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504,932</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40,755</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Fulton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577,178</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49,438</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Greene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504,790</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38,734</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Hamilton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58,310</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4,862</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Herkimer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707,766</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51,693</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Jefferson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1,138,266</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96,288</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Lewis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289,094</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25,039</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Montgomery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543,956</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45,361</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Oswego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1,345,668</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120,467</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Schoharie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362,000</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26,807</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St. Lawrence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1,146,571</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96,752</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sz w:val="16"/>
                <w:szCs w:val="16"/>
              </w:rPr>
            </w:pPr>
            <w:r w:rsidRPr="008C3B5E">
              <w:rPr>
                <w:rFonts w:ascii="Arial" w:hAnsi="Arial" w:cs="Arial"/>
                <w:sz w:val="16"/>
                <w:szCs w:val="16"/>
              </w:rPr>
              <w:t>Sullivan County, NY</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color w:val="000000"/>
                <w:sz w:val="16"/>
                <w:szCs w:val="16"/>
              </w:rPr>
            </w:pPr>
            <w:r w:rsidRPr="008C3B5E">
              <w:rPr>
                <w:rFonts w:ascii="Arial" w:hAnsi="Arial" w:cs="Arial"/>
                <w:color w:val="000000"/>
                <w:sz w:val="16"/>
                <w:szCs w:val="16"/>
              </w:rPr>
              <w:t>813,627</w:t>
            </w:r>
          </w:p>
        </w:tc>
        <w:tc>
          <w:tcPr>
            <w:tcW w:w="1440" w:type="dxa"/>
            <w:tcBorders>
              <w:top w:val="nil"/>
              <w:left w:val="nil"/>
              <w:bottom w:val="nil"/>
              <w:right w:val="nil"/>
            </w:tcBorders>
            <w:vAlign w:val="bottom"/>
          </w:tcPr>
          <w:p w:rsidR="008C3B5E" w:rsidRDefault="008C3B5E" w:rsidP="007C0E21">
            <w:pPr>
              <w:jc w:val="center"/>
              <w:rPr>
                <w:rFonts w:ascii="Arial" w:hAnsi="Arial" w:cs="Arial"/>
                <w:color w:val="000000"/>
                <w:sz w:val="16"/>
                <w:szCs w:val="16"/>
              </w:rPr>
            </w:pPr>
            <w:r>
              <w:rPr>
                <w:rFonts w:ascii="Arial" w:hAnsi="Arial" w:cs="Arial"/>
                <w:color w:val="000000"/>
                <w:sz w:val="16"/>
                <w:szCs w:val="16"/>
              </w:rPr>
              <w:t>60,677</w:t>
            </w:r>
          </w:p>
        </w:tc>
        <w:tc>
          <w:tcPr>
            <w:tcW w:w="1350" w:type="dxa"/>
            <w:tcBorders>
              <w:top w:val="nil"/>
              <w:left w:val="nil"/>
              <w:bottom w:val="nil"/>
              <w:right w:val="nil"/>
            </w:tcBorders>
          </w:tcPr>
          <w:p w:rsidR="008C3B5E" w:rsidRPr="008C3B5E" w:rsidRDefault="008C3B5E" w:rsidP="008C3B5E">
            <w:pPr>
              <w:rPr>
                <w:rFonts w:ascii="Arial" w:hAnsi="Arial" w:cs="Arial"/>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hideMark/>
          </w:tcPr>
          <w:p w:rsidR="008C3B5E" w:rsidRPr="008C3B5E" w:rsidRDefault="008C3B5E" w:rsidP="008C3B5E">
            <w:pPr>
              <w:rPr>
                <w:rFonts w:ascii="Arial" w:hAnsi="Arial" w:cs="Arial"/>
                <w:b/>
                <w:bCs/>
                <w:sz w:val="16"/>
                <w:szCs w:val="16"/>
              </w:rPr>
            </w:pPr>
            <w:r w:rsidRPr="008C3B5E">
              <w:rPr>
                <w:rFonts w:ascii="Arial" w:hAnsi="Arial" w:cs="Arial"/>
                <w:b/>
                <w:bCs/>
                <w:sz w:val="16"/>
                <w:szCs w:val="16"/>
              </w:rPr>
              <w:t>Total</w:t>
            </w:r>
          </w:p>
        </w:tc>
        <w:tc>
          <w:tcPr>
            <w:tcW w:w="1440" w:type="dxa"/>
            <w:tcBorders>
              <w:top w:val="nil"/>
              <w:left w:val="nil"/>
              <w:bottom w:val="nil"/>
              <w:right w:val="nil"/>
            </w:tcBorders>
            <w:shd w:val="clear" w:color="auto" w:fill="auto"/>
            <w:noWrap/>
            <w:vAlign w:val="bottom"/>
            <w:hideMark/>
          </w:tcPr>
          <w:p w:rsidR="008C3B5E" w:rsidRPr="008C3B5E" w:rsidRDefault="008C3B5E" w:rsidP="007C0E21">
            <w:pPr>
              <w:jc w:val="center"/>
              <w:rPr>
                <w:rFonts w:ascii="Arial" w:hAnsi="Arial" w:cs="Arial"/>
                <w:b/>
                <w:bCs/>
                <w:color w:val="000000"/>
                <w:sz w:val="16"/>
                <w:szCs w:val="16"/>
              </w:rPr>
            </w:pPr>
            <w:r w:rsidRPr="008C3B5E">
              <w:rPr>
                <w:rFonts w:ascii="Arial" w:hAnsi="Arial" w:cs="Arial"/>
                <w:b/>
                <w:bCs/>
                <w:color w:val="000000"/>
                <w:sz w:val="16"/>
                <w:szCs w:val="16"/>
              </w:rPr>
              <w:t>9,791,723</w:t>
            </w:r>
          </w:p>
        </w:tc>
        <w:tc>
          <w:tcPr>
            <w:tcW w:w="1440" w:type="dxa"/>
            <w:tcBorders>
              <w:top w:val="nil"/>
              <w:left w:val="nil"/>
              <w:bottom w:val="nil"/>
              <w:right w:val="nil"/>
            </w:tcBorders>
            <w:vAlign w:val="bottom"/>
          </w:tcPr>
          <w:p w:rsidR="008C3B5E" w:rsidRDefault="008C3B5E" w:rsidP="007C0E21">
            <w:pPr>
              <w:jc w:val="center"/>
              <w:rPr>
                <w:rFonts w:ascii="Arial" w:hAnsi="Arial" w:cs="Arial"/>
                <w:b/>
                <w:bCs/>
                <w:color w:val="000000"/>
                <w:sz w:val="16"/>
                <w:szCs w:val="16"/>
              </w:rPr>
            </w:pPr>
            <w:r>
              <w:rPr>
                <w:rFonts w:ascii="Arial" w:hAnsi="Arial" w:cs="Arial"/>
                <w:b/>
                <w:bCs/>
                <w:color w:val="000000"/>
                <w:sz w:val="16"/>
                <w:szCs w:val="16"/>
              </w:rPr>
              <w:t>791,168</w:t>
            </w:r>
          </w:p>
        </w:tc>
        <w:tc>
          <w:tcPr>
            <w:tcW w:w="1350" w:type="dxa"/>
            <w:tcBorders>
              <w:top w:val="nil"/>
              <w:left w:val="nil"/>
              <w:bottom w:val="nil"/>
              <w:right w:val="nil"/>
            </w:tcBorders>
          </w:tcPr>
          <w:p w:rsidR="008C3B5E" w:rsidRPr="008C3B5E" w:rsidRDefault="008C3B5E" w:rsidP="008C3B5E">
            <w:pPr>
              <w:rPr>
                <w:rFonts w:ascii="Arial" w:hAnsi="Arial" w:cs="Arial"/>
                <w:b/>
                <w:bCs/>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tcPr>
          <w:p w:rsidR="008C3B5E" w:rsidRPr="008C3B5E" w:rsidRDefault="008C3B5E" w:rsidP="008C3B5E">
            <w:pPr>
              <w:rPr>
                <w:rFonts w:ascii="Arial" w:hAnsi="Arial" w:cs="Arial"/>
                <w:b/>
                <w:bCs/>
                <w:sz w:val="16"/>
                <w:szCs w:val="16"/>
              </w:rPr>
            </w:pPr>
            <w:r>
              <w:rPr>
                <w:rFonts w:ascii="Arial" w:hAnsi="Arial" w:cs="Arial"/>
                <w:b/>
                <w:bCs/>
                <w:sz w:val="16"/>
                <w:szCs w:val="16"/>
              </w:rPr>
              <w:t>Regional unemployment rate</w:t>
            </w:r>
          </w:p>
        </w:tc>
        <w:tc>
          <w:tcPr>
            <w:tcW w:w="2880" w:type="dxa"/>
            <w:gridSpan w:val="2"/>
            <w:tcBorders>
              <w:top w:val="nil"/>
              <w:left w:val="nil"/>
              <w:bottom w:val="nil"/>
              <w:right w:val="nil"/>
            </w:tcBorders>
            <w:shd w:val="clear" w:color="auto" w:fill="auto"/>
            <w:noWrap/>
            <w:vAlign w:val="bottom"/>
          </w:tcPr>
          <w:p w:rsidR="008C3B5E" w:rsidRDefault="008C3B5E" w:rsidP="008C3B5E">
            <w:pPr>
              <w:jc w:val="center"/>
              <w:rPr>
                <w:rFonts w:ascii="Arial" w:hAnsi="Arial" w:cs="Arial"/>
                <w:b/>
                <w:bCs/>
                <w:color w:val="000000"/>
                <w:sz w:val="16"/>
                <w:szCs w:val="16"/>
              </w:rPr>
            </w:pPr>
            <w:r>
              <w:rPr>
                <w:rFonts w:ascii="Arial" w:hAnsi="Arial" w:cs="Arial"/>
                <w:b/>
                <w:bCs/>
                <w:color w:val="000000"/>
                <w:sz w:val="16"/>
                <w:szCs w:val="16"/>
              </w:rPr>
              <w:t>8.1</w:t>
            </w:r>
          </w:p>
        </w:tc>
        <w:tc>
          <w:tcPr>
            <w:tcW w:w="1350" w:type="dxa"/>
            <w:tcBorders>
              <w:top w:val="nil"/>
              <w:left w:val="nil"/>
              <w:bottom w:val="nil"/>
              <w:right w:val="nil"/>
            </w:tcBorders>
          </w:tcPr>
          <w:p w:rsidR="008C3B5E" w:rsidRPr="008C3B5E" w:rsidRDefault="008C3B5E" w:rsidP="008C3B5E">
            <w:pPr>
              <w:rPr>
                <w:rFonts w:ascii="Arial" w:hAnsi="Arial" w:cs="Arial"/>
                <w:b/>
                <w:bCs/>
                <w:color w:val="000000"/>
                <w:sz w:val="16"/>
                <w:szCs w:val="16"/>
              </w:rPr>
            </w:pPr>
          </w:p>
        </w:tc>
      </w:tr>
      <w:tr w:rsidR="008C3B5E" w:rsidRPr="008C3B5E" w:rsidTr="00E73DA7">
        <w:trPr>
          <w:trHeight w:val="300"/>
        </w:trPr>
        <w:tc>
          <w:tcPr>
            <w:tcW w:w="3060" w:type="dxa"/>
            <w:tcBorders>
              <w:top w:val="nil"/>
              <w:left w:val="nil"/>
              <w:bottom w:val="nil"/>
              <w:right w:val="nil"/>
            </w:tcBorders>
            <w:shd w:val="clear" w:color="auto" w:fill="auto"/>
            <w:noWrap/>
            <w:vAlign w:val="bottom"/>
          </w:tcPr>
          <w:p w:rsidR="008C3B5E" w:rsidRDefault="008C3B5E" w:rsidP="0071510E">
            <w:pPr>
              <w:rPr>
                <w:rFonts w:ascii="Arial" w:hAnsi="Arial" w:cs="Arial"/>
                <w:b/>
                <w:bCs/>
                <w:sz w:val="16"/>
                <w:szCs w:val="16"/>
              </w:rPr>
            </w:pPr>
            <w:r>
              <w:rPr>
                <w:rFonts w:ascii="Arial" w:hAnsi="Arial" w:cs="Arial"/>
                <w:b/>
                <w:bCs/>
                <w:sz w:val="16"/>
                <w:szCs w:val="16"/>
              </w:rPr>
              <w:t>20% Above National Average</w:t>
            </w:r>
          </w:p>
        </w:tc>
        <w:tc>
          <w:tcPr>
            <w:tcW w:w="2880" w:type="dxa"/>
            <w:gridSpan w:val="2"/>
            <w:tcBorders>
              <w:top w:val="nil"/>
              <w:left w:val="nil"/>
              <w:bottom w:val="nil"/>
              <w:right w:val="nil"/>
            </w:tcBorders>
            <w:shd w:val="clear" w:color="auto" w:fill="auto"/>
            <w:noWrap/>
            <w:vAlign w:val="bottom"/>
          </w:tcPr>
          <w:p w:rsidR="008C3B5E" w:rsidRDefault="008C3B5E" w:rsidP="008C3B5E">
            <w:pPr>
              <w:jc w:val="center"/>
              <w:rPr>
                <w:rFonts w:ascii="Arial" w:hAnsi="Arial" w:cs="Arial"/>
                <w:b/>
                <w:bCs/>
                <w:color w:val="000000"/>
                <w:sz w:val="16"/>
                <w:szCs w:val="16"/>
              </w:rPr>
            </w:pPr>
            <w:r>
              <w:rPr>
                <w:rFonts w:ascii="Arial" w:hAnsi="Arial" w:cs="Arial"/>
                <w:b/>
                <w:bCs/>
                <w:color w:val="000000"/>
                <w:sz w:val="16"/>
                <w:szCs w:val="16"/>
              </w:rPr>
              <w:t>8.1</w:t>
            </w:r>
          </w:p>
        </w:tc>
        <w:tc>
          <w:tcPr>
            <w:tcW w:w="1350" w:type="dxa"/>
            <w:tcBorders>
              <w:top w:val="nil"/>
              <w:left w:val="nil"/>
              <w:bottom w:val="nil"/>
              <w:right w:val="nil"/>
            </w:tcBorders>
          </w:tcPr>
          <w:p w:rsidR="008C3B5E" w:rsidRPr="008C3B5E" w:rsidRDefault="008C3B5E" w:rsidP="008C3B5E">
            <w:pPr>
              <w:rPr>
                <w:rFonts w:ascii="Arial" w:hAnsi="Arial" w:cs="Arial"/>
                <w:b/>
                <w:bCs/>
                <w:color w:val="000000"/>
                <w:sz w:val="16"/>
                <w:szCs w:val="16"/>
              </w:rPr>
            </w:pPr>
          </w:p>
        </w:tc>
      </w:tr>
    </w:tbl>
    <w:p w:rsidR="005B152D" w:rsidRDefault="005B152D" w:rsidP="008C3B5E">
      <w:pPr>
        <w:ind w:left="420"/>
        <w:rPr>
          <w:sz w:val="24"/>
          <w:szCs w:val="24"/>
        </w:rPr>
      </w:pPr>
    </w:p>
    <w:p w:rsidR="007C0E21" w:rsidRDefault="007C0E21" w:rsidP="008C3B5E">
      <w:pPr>
        <w:ind w:left="420"/>
        <w:rPr>
          <w:sz w:val="24"/>
          <w:szCs w:val="24"/>
        </w:rPr>
      </w:pPr>
    </w:p>
    <w:p w:rsidR="005B152D" w:rsidRDefault="0071510E" w:rsidP="00522BDD">
      <w:pPr>
        <w:ind w:left="720"/>
        <w:rPr>
          <w:sz w:val="24"/>
          <w:szCs w:val="24"/>
        </w:rPr>
      </w:pPr>
      <w:r>
        <w:rPr>
          <w:sz w:val="24"/>
          <w:szCs w:val="24"/>
        </w:rPr>
        <w:t xml:space="preserve">An additional group of four contiguous counties in the New York City region are eligible based on having an unemployment rate that is 20 percent above the national average for March 2013-February 2015. </w:t>
      </w:r>
      <w:r w:rsidR="00C07BEE">
        <w:rPr>
          <w:sz w:val="24"/>
          <w:szCs w:val="24"/>
        </w:rPr>
        <w:t xml:space="preserve"> </w:t>
      </w:r>
      <w:r>
        <w:rPr>
          <w:sz w:val="24"/>
          <w:szCs w:val="24"/>
        </w:rPr>
        <w:t>The national average for this period was 6.57 percent; 20 percent above that was 7.9 percent.</w:t>
      </w:r>
    </w:p>
    <w:p w:rsidR="007C0E21" w:rsidRDefault="007C0E21" w:rsidP="008C3B5E">
      <w:pPr>
        <w:ind w:left="420"/>
        <w:rPr>
          <w:sz w:val="24"/>
          <w:szCs w:val="24"/>
        </w:rPr>
      </w:pPr>
    </w:p>
    <w:tbl>
      <w:tblPr>
        <w:tblW w:w="7052" w:type="dxa"/>
        <w:tblInd w:w="648" w:type="dxa"/>
        <w:tblLook w:val="04A0" w:firstRow="1" w:lastRow="0" w:firstColumn="1" w:lastColumn="0" w:noHBand="0" w:noVBand="1"/>
      </w:tblPr>
      <w:tblGrid>
        <w:gridCol w:w="2732"/>
        <w:gridCol w:w="2160"/>
        <w:gridCol w:w="2160"/>
      </w:tblGrid>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b/>
                <w:bCs/>
                <w:sz w:val="16"/>
                <w:szCs w:val="16"/>
                <w:u w:val="single"/>
              </w:rPr>
            </w:pPr>
            <w:r w:rsidRPr="0071510E">
              <w:rPr>
                <w:rFonts w:ascii="Arial" w:hAnsi="Arial" w:cs="Arial"/>
                <w:b/>
                <w:bCs/>
                <w:sz w:val="16"/>
                <w:szCs w:val="16"/>
                <w:u w:val="single"/>
              </w:rPr>
              <w:t>New York City region</w:t>
            </w:r>
          </w:p>
        </w:tc>
        <w:tc>
          <w:tcPr>
            <w:tcW w:w="2160" w:type="dxa"/>
            <w:tcBorders>
              <w:top w:val="nil"/>
              <w:left w:val="nil"/>
              <w:bottom w:val="nil"/>
              <w:right w:val="nil"/>
            </w:tcBorders>
          </w:tcPr>
          <w:p w:rsidR="0071510E" w:rsidRPr="0071510E" w:rsidRDefault="0071510E" w:rsidP="00D00976">
            <w:pPr>
              <w:jc w:val="center"/>
              <w:rPr>
                <w:rFonts w:ascii="Arial" w:hAnsi="Arial" w:cs="Arial"/>
                <w:b/>
                <w:bCs/>
                <w:sz w:val="16"/>
                <w:szCs w:val="16"/>
                <w:u w:val="single"/>
              </w:rPr>
            </w:pPr>
            <w:r>
              <w:rPr>
                <w:rFonts w:ascii="Arial" w:hAnsi="Arial" w:cs="Arial"/>
                <w:b/>
                <w:bCs/>
                <w:sz w:val="16"/>
                <w:szCs w:val="16"/>
                <w:u w:val="single"/>
              </w:rPr>
              <w:t>Total labor force, March 2013-February 2015</w:t>
            </w:r>
          </w:p>
        </w:tc>
        <w:tc>
          <w:tcPr>
            <w:tcW w:w="2160" w:type="dxa"/>
            <w:tcBorders>
              <w:top w:val="nil"/>
              <w:left w:val="nil"/>
              <w:bottom w:val="nil"/>
              <w:right w:val="nil"/>
            </w:tcBorders>
          </w:tcPr>
          <w:p w:rsidR="0071510E" w:rsidRDefault="0071510E" w:rsidP="00D00976">
            <w:pPr>
              <w:jc w:val="center"/>
              <w:rPr>
                <w:rFonts w:ascii="Arial" w:hAnsi="Arial" w:cs="Arial"/>
                <w:b/>
                <w:bCs/>
                <w:sz w:val="16"/>
                <w:szCs w:val="16"/>
                <w:u w:val="single"/>
              </w:rPr>
            </w:pPr>
            <w:r>
              <w:rPr>
                <w:rFonts w:ascii="Arial" w:hAnsi="Arial" w:cs="Arial"/>
                <w:b/>
                <w:bCs/>
                <w:sz w:val="16"/>
                <w:szCs w:val="16"/>
                <w:u w:val="single"/>
              </w:rPr>
              <w:t>Total unemployment, March 2013-February 2015</w:t>
            </w:r>
          </w:p>
        </w:tc>
      </w:tr>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sz w:val="16"/>
                <w:szCs w:val="16"/>
              </w:rPr>
            </w:pPr>
            <w:r w:rsidRPr="0071510E">
              <w:rPr>
                <w:rFonts w:ascii="Arial" w:hAnsi="Arial" w:cs="Arial"/>
                <w:sz w:val="16"/>
                <w:szCs w:val="16"/>
              </w:rPr>
              <w:t>Bronx County, NY</w:t>
            </w:r>
          </w:p>
        </w:tc>
        <w:tc>
          <w:tcPr>
            <w:tcW w:w="2160" w:type="dxa"/>
            <w:tcBorders>
              <w:top w:val="nil"/>
              <w:left w:val="nil"/>
              <w:bottom w:val="nil"/>
              <w:right w:val="nil"/>
            </w:tcBorders>
            <w:vAlign w:val="bottom"/>
          </w:tcPr>
          <w:p w:rsidR="0071510E" w:rsidRDefault="0071510E" w:rsidP="0071510E">
            <w:pPr>
              <w:rPr>
                <w:rFonts w:ascii="Arial" w:hAnsi="Arial" w:cs="Arial"/>
                <w:color w:val="000000"/>
                <w:sz w:val="16"/>
                <w:szCs w:val="16"/>
              </w:rPr>
            </w:pPr>
            <w:r>
              <w:rPr>
                <w:rFonts w:ascii="Arial" w:hAnsi="Arial" w:cs="Arial"/>
                <w:color w:val="000000"/>
                <w:sz w:val="16"/>
                <w:szCs w:val="16"/>
              </w:rPr>
              <w:t xml:space="preserve">             14,530,540 </w:t>
            </w:r>
          </w:p>
        </w:tc>
        <w:tc>
          <w:tcPr>
            <w:tcW w:w="2160" w:type="dxa"/>
            <w:tcBorders>
              <w:top w:val="nil"/>
              <w:left w:val="nil"/>
              <w:bottom w:val="nil"/>
              <w:right w:val="nil"/>
            </w:tcBorders>
            <w:vAlign w:val="bottom"/>
          </w:tcPr>
          <w:p w:rsidR="0071510E" w:rsidRDefault="0071510E" w:rsidP="007C0E21">
            <w:pPr>
              <w:jc w:val="center"/>
              <w:rPr>
                <w:rFonts w:ascii="Arial" w:hAnsi="Arial" w:cs="Arial"/>
                <w:color w:val="000000"/>
                <w:sz w:val="16"/>
                <w:szCs w:val="16"/>
              </w:rPr>
            </w:pPr>
            <w:r>
              <w:rPr>
                <w:rFonts w:ascii="Arial" w:hAnsi="Arial" w:cs="Arial"/>
                <w:color w:val="000000"/>
                <w:sz w:val="16"/>
                <w:szCs w:val="16"/>
              </w:rPr>
              <w:t>1,528,304</w:t>
            </w:r>
          </w:p>
        </w:tc>
      </w:tr>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sz w:val="16"/>
                <w:szCs w:val="16"/>
              </w:rPr>
            </w:pPr>
            <w:r w:rsidRPr="0071510E">
              <w:rPr>
                <w:rFonts w:ascii="Arial" w:hAnsi="Arial" w:cs="Arial"/>
                <w:sz w:val="16"/>
                <w:szCs w:val="16"/>
              </w:rPr>
              <w:t>Kings County, NY</w:t>
            </w:r>
          </w:p>
        </w:tc>
        <w:tc>
          <w:tcPr>
            <w:tcW w:w="2160" w:type="dxa"/>
            <w:tcBorders>
              <w:top w:val="nil"/>
              <w:left w:val="nil"/>
              <w:bottom w:val="nil"/>
              <w:right w:val="nil"/>
            </w:tcBorders>
            <w:vAlign w:val="bottom"/>
          </w:tcPr>
          <w:p w:rsidR="0071510E" w:rsidRDefault="0071510E" w:rsidP="0071510E">
            <w:pPr>
              <w:rPr>
                <w:rFonts w:ascii="Arial" w:hAnsi="Arial" w:cs="Arial"/>
                <w:color w:val="000000"/>
                <w:sz w:val="16"/>
                <w:szCs w:val="16"/>
              </w:rPr>
            </w:pPr>
            <w:r>
              <w:rPr>
                <w:rFonts w:ascii="Arial" w:hAnsi="Arial" w:cs="Arial"/>
                <w:color w:val="000000"/>
                <w:sz w:val="16"/>
                <w:szCs w:val="16"/>
              </w:rPr>
              <w:t xml:space="preserve">             29,257,152 </w:t>
            </w:r>
          </w:p>
        </w:tc>
        <w:tc>
          <w:tcPr>
            <w:tcW w:w="2160" w:type="dxa"/>
            <w:tcBorders>
              <w:top w:val="nil"/>
              <w:left w:val="nil"/>
              <w:bottom w:val="nil"/>
              <w:right w:val="nil"/>
            </w:tcBorders>
            <w:vAlign w:val="bottom"/>
          </w:tcPr>
          <w:p w:rsidR="0071510E" w:rsidRDefault="0071510E" w:rsidP="007C0E21">
            <w:pPr>
              <w:jc w:val="center"/>
              <w:rPr>
                <w:rFonts w:ascii="Arial" w:hAnsi="Arial" w:cs="Arial"/>
                <w:color w:val="000000"/>
                <w:sz w:val="16"/>
                <w:szCs w:val="16"/>
              </w:rPr>
            </w:pPr>
            <w:r>
              <w:rPr>
                <w:rFonts w:ascii="Arial" w:hAnsi="Arial" w:cs="Arial"/>
                <w:color w:val="000000"/>
                <w:sz w:val="16"/>
                <w:szCs w:val="16"/>
              </w:rPr>
              <w:t>2,427,031</w:t>
            </w:r>
          </w:p>
        </w:tc>
      </w:tr>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sz w:val="16"/>
                <w:szCs w:val="16"/>
              </w:rPr>
            </w:pPr>
            <w:r w:rsidRPr="0071510E">
              <w:rPr>
                <w:rFonts w:ascii="Arial" w:hAnsi="Arial" w:cs="Arial"/>
                <w:sz w:val="16"/>
                <w:szCs w:val="16"/>
              </w:rPr>
              <w:t>Queens County, NY</w:t>
            </w:r>
          </w:p>
        </w:tc>
        <w:tc>
          <w:tcPr>
            <w:tcW w:w="2160" w:type="dxa"/>
            <w:tcBorders>
              <w:top w:val="nil"/>
              <w:left w:val="nil"/>
              <w:bottom w:val="nil"/>
              <w:right w:val="nil"/>
            </w:tcBorders>
            <w:vAlign w:val="bottom"/>
          </w:tcPr>
          <w:p w:rsidR="0071510E" w:rsidRDefault="0071510E" w:rsidP="0071510E">
            <w:pPr>
              <w:rPr>
                <w:rFonts w:ascii="Arial" w:hAnsi="Arial" w:cs="Arial"/>
                <w:color w:val="000000"/>
                <w:sz w:val="16"/>
                <w:szCs w:val="16"/>
              </w:rPr>
            </w:pPr>
            <w:r>
              <w:rPr>
                <w:rFonts w:ascii="Arial" w:hAnsi="Arial" w:cs="Arial"/>
                <w:color w:val="000000"/>
                <w:sz w:val="16"/>
                <w:szCs w:val="16"/>
              </w:rPr>
              <w:t xml:space="preserve">             27,659,097 </w:t>
            </w:r>
          </w:p>
        </w:tc>
        <w:tc>
          <w:tcPr>
            <w:tcW w:w="2160" w:type="dxa"/>
            <w:tcBorders>
              <w:top w:val="nil"/>
              <w:left w:val="nil"/>
              <w:bottom w:val="nil"/>
              <w:right w:val="nil"/>
            </w:tcBorders>
            <w:vAlign w:val="bottom"/>
          </w:tcPr>
          <w:p w:rsidR="0071510E" w:rsidRDefault="0071510E" w:rsidP="007C0E21">
            <w:pPr>
              <w:jc w:val="center"/>
              <w:rPr>
                <w:rFonts w:ascii="Arial" w:hAnsi="Arial" w:cs="Arial"/>
                <w:color w:val="000000"/>
                <w:sz w:val="16"/>
                <w:szCs w:val="16"/>
              </w:rPr>
            </w:pPr>
            <w:r>
              <w:rPr>
                <w:rFonts w:ascii="Arial" w:hAnsi="Arial" w:cs="Arial"/>
                <w:color w:val="000000"/>
                <w:sz w:val="16"/>
                <w:szCs w:val="16"/>
              </w:rPr>
              <w:t>1,902,215</w:t>
            </w:r>
          </w:p>
        </w:tc>
      </w:tr>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sz w:val="16"/>
                <w:szCs w:val="16"/>
              </w:rPr>
            </w:pPr>
            <w:r w:rsidRPr="0071510E">
              <w:rPr>
                <w:rFonts w:ascii="Arial" w:hAnsi="Arial" w:cs="Arial"/>
                <w:sz w:val="16"/>
                <w:szCs w:val="16"/>
              </w:rPr>
              <w:t>Richmond County, NY</w:t>
            </w:r>
          </w:p>
        </w:tc>
        <w:tc>
          <w:tcPr>
            <w:tcW w:w="2160" w:type="dxa"/>
            <w:tcBorders>
              <w:top w:val="nil"/>
              <w:left w:val="nil"/>
              <w:bottom w:val="nil"/>
              <w:right w:val="nil"/>
            </w:tcBorders>
            <w:vAlign w:val="bottom"/>
          </w:tcPr>
          <w:p w:rsidR="0071510E" w:rsidRDefault="0071510E" w:rsidP="0071510E">
            <w:pPr>
              <w:rPr>
                <w:rFonts w:ascii="Arial" w:hAnsi="Arial" w:cs="Arial"/>
                <w:color w:val="000000"/>
                <w:sz w:val="16"/>
                <w:szCs w:val="16"/>
              </w:rPr>
            </w:pPr>
            <w:r>
              <w:rPr>
                <w:rFonts w:ascii="Arial" w:hAnsi="Arial" w:cs="Arial"/>
                <w:color w:val="000000"/>
                <w:sz w:val="16"/>
                <w:szCs w:val="16"/>
              </w:rPr>
              <w:t xml:space="preserve">               5,329,203 </w:t>
            </w:r>
          </w:p>
        </w:tc>
        <w:tc>
          <w:tcPr>
            <w:tcW w:w="2160" w:type="dxa"/>
            <w:tcBorders>
              <w:top w:val="nil"/>
              <w:left w:val="nil"/>
              <w:bottom w:val="nil"/>
              <w:right w:val="nil"/>
            </w:tcBorders>
            <w:vAlign w:val="bottom"/>
          </w:tcPr>
          <w:p w:rsidR="0071510E" w:rsidRDefault="0071510E" w:rsidP="007C0E21">
            <w:pPr>
              <w:jc w:val="center"/>
              <w:rPr>
                <w:rFonts w:ascii="Arial" w:hAnsi="Arial" w:cs="Arial"/>
                <w:color w:val="000000"/>
                <w:sz w:val="16"/>
                <w:szCs w:val="16"/>
              </w:rPr>
            </w:pPr>
            <w:r>
              <w:rPr>
                <w:rFonts w:ascii="Arial" w:hAnsi="Arial" w:cs="Arial"/>
                <w:color w:val="000000"/>
                <w:sz w:val="16"/>
                <w:szCs w:val="16"/>
              </w:rPr>
              <w:t>414,790</w:t>
            </w:r>
          </w:p>
        </w:tc>
      </w:tr>
      <w:tr w:rsidR="0071510E" w:rsidRPr="0071510E" w:rsidTr="00E73DA7">
        <w:trPr>
          <w:trHeight w:val="300"/>
        </w:trPr>
        <w:tc>
          <w:tcPr>
            <w:tcW w:w="2732" w:type="dxa"/>
            <w:tcBorders>
              <w:top w:val="nil"/>
              <w:left w:val="nil"/>
              <w:bottom w:val="nil"/>
              <w:right w:val="nil"/>
            </w:tcBorders>
            <w:shd w:val="clear" w:color="auto" w:fill="auto"/>
            <w:noWrap/>
            <w:vAlign w:val="bottom"/>
            <w:hideMark/>
          </w:tcPr>
          <w:p w:rsidR="0071510E" w:rsidRPr="0071510E" w:rsidRDefault="0071510E" w:rsidP="0071510E">
            <w:pPr>
              <w:rPr>
                <w:rFonts w:ascii="Arial" w:hAnsi="Arial" w:cs="Arial"/>
                <w:b/>
                <w:bCs/>
                <w:sz w:val="16"/>
                <w:szCs w:val="16"/>
              </w:rPr>
            </w:pPr>
            <w:r w:rsidRPr="0071510E">
              <w:rPr>
                <w:rFonts w:ascii="Arial" w:hAnsi="Arial" w:cs="Arial"/>
                <w:b/>
                <w:bCs/>
                <w:sz w:val="16"/>
                <w:szCs w:val="16"/>
              </w:rPr>
              <w:t>Total, New York City region</w:t>
            </w:r>
          </w:p>
        </w:tc>
        <w:tc>
          <w:tcPr>
            <w:tcW w:w="2160" w:type="dxa"/>
            <w:tcBorders>
              <w:top w:val="nil"/>
              <w:left w:val="nil"/>
              <w:bottom w:val="nil"/>
              <w:right w:val="nil"/>
            </w:tcBorders>
            <w:vAlign w:val="bottom"/>
          </w:tcPr>
          <w:p w:rsidR="0071510E" w:rsidRDefault="0071510E" w:rsidP="0071510E">
            <w:pPr>
              <w:rPr>
                <w:rFonts w:ascii="Arial" w:hAnsi="Arial" w:cs="Arial"/>
                <w:b/>
                <w:bCs/>
                <w:color w:val="000000"/>
                <w:sz w:val="16"/>
                <w:szCs w:val="16"/>
              </w:rPr>
            </w:pPr>
            <w:r>
              <w:rPr>
                <w:rFonts w:ascii="Arial" w:hAnsi="Arial" w:cs="Arial"/>
                <w:b/>
                <w:bCs/>
                <w:color w:val="000000"/>
                <w:sz w:val="16"/>
                <w:szCs w:val="16"/>
              </w:rPr>
              <w:t xml:space="preserve">             76,775,992 </w:t>
            </w:r>
          </w:p>
        </w:tc>
        <w:tc>
          <w:tcPr>
            <w:tcW w:w="2160" w:type="dxa"/>
            <w:tcBorders>
              <w:top w:val="nil"/>
              <w:left w:val="nil"/>
              <w:bottom w:val="nil"/>
              <w:right w:val="nil"/>
            </w:tcBorders>
            <w:vAlign w:val="bottom"/>
          </w:tcPr>
          <w:p w:rsidR="0071510E" w:rsidRDefault="0071510E" w:rsidP="007C0E21">
            <w:pPr>
              <w:jc w:val="center"/>
              <w:rPr>
                <w:rFonts w:ascii="Arial" w:hAnsi="Arial" w:cs="Arial"/>
                <w:b/>
                <w:bCs/>
                <w:color w:val="000000"/>
                <w:sz w:val="16"/>
                <w:szCs w:val="16"/>
              </w:rPr>
            </w:pPr>
            <w:r>
              <w:rPr>
                <w:rFonts w:ascii="Arial" w:hAnsi="Arial" w:cs="Arial"/>
                <w:b/>
                <w:bCs/>
                <w:color w:val="000000"/>
                <w:sz w:val="16"/>
                <w:szCs w:val="16"/>
              </w:rPr>
              <w:t>6,272,340</w:t>
            </w:r>
          </w:p>
        </w:tc>
      </w:tr>
      <w:tr w:rsidR="0071510E" w:rsidRPr="0071510E" w:rsidTr="00E73DA7">
        <w:trPr>
          <w:trHeight w:val="300"/>
        </w:trPr>
        <w:tc>
          <w:tcPr>
            <w:tcW w:w="2732" w:type="dxa"/>
            <w:tcBorders>
              <w:top w:val="nil"/>
              <w:left w:val="nil"/>
              <w:bottom w:val="nil"/>
              <w:right w:val="nil"/>
            </w:tcBorders>
            <w:shd w:val="clear" w:color="auto" w:fill="auto"/>
            <w:noWrap/>
            <w:vAlign w:val="bottom"/>
          </w:tcPr>
          <w:p w:rsidR="0071510E" w:rsidRPr="0071510E" w:rsidRDefault="0071510E" w:rsidP="0071510E">
            <w:pPr>
              <w:rPr>
                <w:rFonts w:ascii="Arial" w:hAnsi="Arial" w:cs="Arial"/>
                <w:b/>
                <w:bCs/>
                <w:sz w:val="16"/>
                <w:szCs w:val="16"/>
              </w:rPr>
            </w:pPr>
            <w:r>
              <w:rPr>
                <w:rFonts w:ascii="Arial" w:hAnsi="Arial" w:cs="Arial"/>
                <w:b/>
                <w:bCs/>
                <w:sz w:val="16"/>
                <w:szCs w:val="16"/>
              </w:rPr>
              <w:t>Regional unemployment rate</w:t>
            </w:r>
          </w:p>
        </w:tc>
        <w:tc>
          <w:tcPr>
            <w:tcW w:w="4320" w:type="dxa"/>
            <w:gridSpan w:val="2"/>
            <w:tcBorders>
              <w:top w:val="nil"/>
              <w:left w:val="nil"/>
              <w:bottom w:val="nil"/>
              <w:right w:val="nil"/>
            </w:tcBorders>
            <w:vAlign w:val="bottom"/>
          </w:tcPr>
          <w:p w:rsidR="0071510E" w:rsidRDefault="0071510E" w:rsidP="0071510E">
            <w:pPr>
              <w:jc w:val="center"/>
              <w:rPr>
                <w:rFonts w:ascii="Arial" w:hAnsi="Arial" w:cs="Arial"/>
                <w:b/>
                <w:bCs/>
                <w:color w:val="000000"/>
                <w:sz w:val="16"/>
                <w:szCs w:val="16"/>
              </w:rPr>
            </w:pPr>
            <w:r>
              <w:rPr>
                <w:rFonts w:ascii="Arial" w:hAnsi="Arial" w:cs="Arial"/>
                <w:b/>
                <w:bCs/>
                <w:color w:val="000000"/>
                <w:sz w:val="16"/>
                <w:szCs w:val="16"/>
              </w:rPr>
              <w:t>8.2</w:t>
            </w:r>
          </w:p>
        </w:tc>
      </w:tr>
      <w:tr w:rsidR="0071510E" w:rsidRPr="0071510E" w:rsidTr="00E73DA7">
        <w:trPr>
          <w:trHeight w:val="300"/>
        </w:trPr>
        <w:tc>
          <w:tcPr>
            <w:tcW w:w="2732" w:type="dxa"/>
            <w:tcBorders>
              <w:top w:val="nil"/>
              <w:left w:val="nil"/>
              <w:bottom w:val="nil"/>
              <w:right w:val="nil"/>
            </w:tcBorders>
            <w:shd w:val="clear" w:color="auto" w:fill="auto"/>
            <w:noWrap/>
            <w:vAlign w:val="bottom"/>
          </w:tcPr>
          <w:p w:rsidR="0071510E" w:rsidRDefault="0071510E" w:rsidP="0071510E">
            <w:pPr>
              <w:rPr>
                <w:rFonts w:ascii="Arial" w:hAnsi="Arial" w:cs="Arial"/>
                <w:b/>
                <w:bCs/>
                <w:sz w:val="16"/>
                <w:szCs w:val="16"/>
              </w:rPr>
            </w:pPr>
            <w:r>
              <w:rPr>
                <w:rFonts w:ascii="Arial" w:hAnsi="Arial" w:cs="Arial"/>
                <w:b/>
                <w:bCs/>
                <w:sz w:val="16"/>
                <w:szCs w:val="16"/>
              </w:rPr>
              <w:t>20% Above National Average</w:t>
            </w:r>
          </w:p>
        </w:tc>
        <w:tc>
          <w:tcPr>
            <w:tcW w:w="4320" w:type="dxa"/>
            <w:gridSpan w:val="2"/>
            <w:tcBorders>
              <w:top w:val="nil"/>
              <w:left w:val="nil"/>
              <w:bottom w:val="nil"/>
              <w:right w:val="nil"/>
            </w:tcBorders>
            <w:vAlign w:val="bottom"/>
          </w:tcPr>
          <w:p w:rsidR="0071510E" w:rsidRDefault="0071510E" w:rsidP="0071510E">
            <w:pPr>
              <w:jc w:val="center"/>
              <w:rPr>
                <w:rFonts w:ascii="Arial" w:hAnsi="Arial" w:cs="Arial"/>
                <w:b/>
                <w:bCs/>
                <w:color w:val="000000"/>
                <w:sz w:val="16"/>
                <w:szCs w:val="16"/>
              </w:rPr>
            </w:pPr>
            <w:r>
              <w:rPr>
                <w:rFonts w:ascii="Arial" w:hAnsi="Arial" w:cs="Arial"/>
                <w:b/>
                <w:bCs/>
                <w:color w:val="000000"/>
                <w:sz w:val="16"/>
                <w:szCs w:val="16"/>
              </w:rPr>
              <w:t>7.9</w:t>
            </w:r>
          </w:p>
        </w:tc>
      </w:tr>
    </w:tbl>
    <w:p w:rsidR="00882E3D" w:rsidRDefault="00882E3D" w:rsidP="008C3B5E">
      <w:pPr>
        <w:ind w:left="420"/>
        <w:rPr>
          <w:sz w:val="24"/>
          <w:szCs w:val="24"/>
        </w:rPr>
      </w:pPr>
    </w:p>
    <w:p w:rsidR="005B152D" w:rsidRPr="008C3B5E" w:rsidRDefault="0048676B" w:rsidP="008C3B5E">
      <w:pPr>
        <w:ind w:left="420"/>
        <w:rPr>
          <w:sz w:val="24"/>
          <w:szCs w:val="24"/>
        </w:rPr>
      </w:pPr>
      <w:r>
        <w:rPr>
          <w:sz w:val="24"/>
          <w:szCs w:val="24"/>
        </w:rPr>
        <w:t xml:space="preserve">Orleans County and 6 cities are also eligible for a waiver based on having individual unemployment rates that are 20 percent above the national average for the 24-month period of March 2013-February 2015. </w:t>
      </w:r>
      <w:r w:rsidR="00C07BEE">
        <w:rPr>
          <w:sz w:val="24"/>
          <w:szCs w:val="24"/>
        </w:rPr>
        <w:t xml:space="preserve"> </w:t>
      </w:r>
      <w:r w:rsidR="00FC65D2">
        <w:rPr>
          <w:sz w:val="24"/>
          <w:szCs w:val="24"/>
        </w:rPr>
        <w:t>These individual rates are listed below.</w:t>
      </w:r>
    </w:p>
    <w:p w:rsidR="00E96206" w:rsidRDefault="00E96206" w:rsidP="00E96206">
      <w:pPr>
        <w:ind w:left="420"/>
        <w:rPr>
          <w:b/>
          <w:sz w:val="24"/>
          <w:szCs w:val="24"/>
        </w:rPr>
      </w:pPr>
    </w:p>
    <w:tbl>
      <w:tblPr>
        <w:tblW w:w="8208" w:type="dxa"/>
        <w:tblInd w:w="648" w:type="dxa"/>
        <w:tblLook w:val="04A0" w:firstRow="1" w:lastRow="0" w:firstColumn="1" w:lastColumn="0" w:noHBand="0" w:noVBand="1"/>
      </w:tblPr>
      <w:tblGrid>
        <w:gridCol w:w="1890"/>
        <w:gridCol w:w="2112"/>
        <w:gridCol w:w="2128"/>
        <w:gridCol w:w="2078"/>
      </w:tblGrid>
      <w:tr w:rsidR="00FC65D2" w:rsidRPr="0071510E" w:rsidTr="003F2B41">
        <w:trPr>
          <w:trHeight w:val="300"/>
        </w:trPr>
        <w:tc>
          <w:tcPr>
            <w:tcW w:w="1890" w:type="dxa"/>
            <w:tcBorders>
              <w:top w:val="nil"/>
              <w:left w:val="nil"/>
              <w:bottom w:val="nil"/>
              <w:right w:val="nil"/>
            </w:tcBorders>
            <w:shd w:val="clear" w:color="auto" w:fill="auto"/>
            <w:noWrap/>
            <w:vAlign w:val="bottom"/>
            <w:hideMark/>
          </w:tcPr>
          <w:p w:rsidR="00FC65D2" w:rsidRPr="0071510E" w:rsidRDefault="00FC65D2" w:rsidP="00920295">
            <w:pPr>
              <w:rPr>
                <w:rFonts w:ascii="Arial" w:hAnsi="Arial" w:cs="Arial"/>
                <w:b/>
                <w:bCs/>
                <w:sz w:val="16"/>
                <w:szCs w:val="16"/>
                <w:u w:val="single"/>
              </w:rPr>
            </w:pPr>
            <w:r>
              <w:rPr>
                <w:rFonts w:ascii="Arial" w:hAnsi="Arial" w:cs="Arial"/>
                <w:b/>
                <w:bCs/>
                <w:sz w:val="16"/>
                <w:szCs w:val="16"/>
                <w:u w:val="single"/>
              </w:rPr>
              <w:t>Individual County/Cities</w:t>
            </w:r>
          </w:p>
        </w:tc>
        <w:tc>
          <w:tcPr>
            <w:tcW w:w="2112" w:type="dxa"/>
            <w:tcBorders>
              <w:top w:val="nil"/>
              <w:left w:val="nil"/>
              <w:bottom w:val="nil"/>
              <w:right w:val="nil"/>
            </w:tcBorders>
          </w:tcPr>
          <w:p w:rsidR="00FC65D2" w:rsidRPr="0071510E" w:rsidRDefault="00FC65D2" w:rsidP="007C0E21">
            <w:pPr>
              <w:jc w:val="center"/>
              <w:rPr>
                <w:rFonts w:ascii="Arial" w:hAnsi="Arial" w:cs="Arial"/>
                <w:b/>
                <w:bCs/>
                <w:sz w:val="16"/>
                <w:szCs w:val="16"/>
                <w:u w:val="single"/>
              </w:rPr>
            </w:pPr>
            <w:r>
              <w:rPr>
                <w:rFonts w:ascii="Arial" w:hAnsi="Arial" w:cs="Arial"/>
                <w:b/>
                <w:bCs/>
                <w:sz w:val="16"/>
                <w:szCs w:val="16"/>
                <w:u w:val="single"/>
              </w:rPr>
              <w:t>Total labor force, March 2013-February 2015</w:t>
            </w:r>
          </w:p>
        </w:tc>
        <w:tc>
          <w:tcPr>
            <w:tcW w:w="2128" w:type="dxa"/>
            <w:tcBorders>
              <w:top w:val="nil"/>
              <w:left w:val="nil"/>
              <w:bottom w:val="nil"/>
              <w:right w:val="nil"/>
            </w:tcBorders>
          </w:tcPr>
          <w:p w:rsidR="00FC65D2" w:rsidRDefault="00FC65D2" w:rsidP="007C0E21">
            <w:pPr>
              <w:jc w:val="center"/>
              <w:rPr>
                <w:rFonts w:ascii="Arial" w:hAnsi="Arial" w:cs="Arial"/>
                <w:b/>
                <w:bCs/>
                <w:sz w:val="16"/>
                <w:szCs w:val="16"/>
                <w:u w:val="single"/>
              </w:rPr>
            </w:pPr>
            <w:r>
              <w:rPr>
                <w:rFonts w:ascii="Arial" w:hAnsi="Arial" w:cs="Arial"/>
                <w:b/>
                <w:bCs/>
                <w:sz w:val="16"/>
                <w:szCs w:val="16"/>
                <w:u w:val="single"/>
              </w:rPr>
              <w:t>Total unemployment, March 2013-February 2015</w:t>
            </w:r>
          </w:p>
        </w:tc>
        <w:tc>
          <w:tcPr>
            <w:tcW w:w="2078" w:type="dxa"/>
            <w:tcBorders>
              <w:top w:val="nil"/>
              <w:left w:val="nil"/>
              <w:bottom w:val="nil"/>
              <w:right w:val="nil"/>
            </w:tcBorders>
          </w:tcPr>
          <w:p w:rsidR="00FC65D2" w:rsidRDefault="00FC65D2" w:rsidP="007C0E21">
            <w:pPr>
              <w:jc w:val="center"/>
              <w:rPr>
                <w:rFonts w:ascii="Arial" w:hAnsi="Arial" w:cs="Arial"/>
                <w:b/>
                <w:bCs/>
                <w:sz w:val="16"/>
                <w:szCs w:val="16"/>
                <w:u w:val="single"/>
              </w:rPr>
            </w:pPr>
            <w:r>
              <w:rPr>
                <w:rFonts w:ascii="Arial" w:hAnsi="Arial" w:cs="Arial"/>
                <w:b/>
                <w:bCs/>
                <w:sz w:val="16"/>
                <w:szCs w:val="16"/>
                <w:u w:val="single"/>
              </w:rPr>
              <w:t>Unemployment Rate, March 2013-February 2015</w:t>
            </w:r>
          </w:p>
        </w:tc>
      </w:tr>
      <w:tr w:rsidR="00FC65D2" w:rsidRPr="0071510E" w:rsidTr="003F2B41">
        <w:trPr>
          <w:trHeight w:val="300"/>
        </w:trPr>
        <w:tc>
          <w:tcPr>
            <w:tcW w:w="1890" w:type="dxa"/>
            <w:tcBorders>
              <w:top w:val="nil"/>
              <w:left w:val="nil"/>
              <w:bottom w:val="nil"/>
              <w:right w:val="nil"/>
            </w:tcBorders>
            <w:shd w:val="clear" w:color="auto" w:fill="auto"/>
            <w:noWrap/>
            <w:vAlign w:val="bottom"/>
          </w:tcPr>
          <w:p w:rsidR="00FC65D2" w:rsidRPr="00FC65D2" w:rsidRDefault="00FC65D2" w:rsidP="00920295">
            <w:pPr>
              <w:rPr>
                <w:rFonts w:ascii="Arial" w:hAnsi="Arial" w:cs="Arial"/>
                <w:bCs/>
                <w:sz w:val="16"/>
                <w:szCs w:val="16"/>
              </w:rPr>
            </w:pPr>
            <w:r w:rsidRPr="00FC65D2">
              <w:rPr>
                <w:rFonts w:ascii="Arial" w:hAnsi="Arial" w:cs="Arial"/>
                <w:bCs/>
                <w:sz w:val="16"/>
                <w:szCs w:val="16"/>
              </w:rPr>
              <w:t>Orleans County, NY</w:t>
            </w:r>
          </w:p>
        </w:tc>
        <w:tc>
          <w:tcPr>
            <w:tcW w:w="2112" w:type="dxa"/>
            <w:tcBorders>
              <w:top w:val="nil"/>
              <w:left w:val="nil"/>
              <w:bottom w:val="nil"/>
              <w:right w:val="nil"/>
            </w:tcBorders>
          </w:tcPr>
          <w:p w:rsidR="00FC65D2" w:rsidRPr="00FC65D2" w:rsidRDefault="00FC65D2" w:rsidP="007C0E21">
            <w:pPr>
              <w:jc w:val="center"/>
              <w:rPr>
                <w:rFonts w:ascii="Arial" w:hAnsi="Arial" w:cs="Arial"/>
                <w:color w:val="000000"/>
                <w:sz w:val="16"/>
                <w:szCs w:val="16"/>
              </w:rPr>
            </w:pPr>
            <w:r>
              <w:rPr>
                <w:rFonts w:ascii="Arial" w:hAnsi="Arial" w:cs="Arial"/>
                <w:color w:val="000000"/>
                <w:sz w:val="16"/>
                <w:szCs w:val="16"/>
              </w:rPr>
              <w:t>439,796</w:t>
            </w:r>
          </w:p>
        </w:tc>
        <w:tc>
          <w:tcPr>
            <w:tcW w:w="2128" w:type="dxa"/>
            <w:tcBorders>
              <w:top w:val="nil"/>
              <w:left w:val="nil"/>
              <w:bottom w:val="nil"/>
              <w:right w:val="nil"/>
            </w:tcBorders>
          </w:tcPr>
          <w:p w:rsidR="00FC65D2" w:rsidRPr="00FC65D2" w:rsidRDefault="00FC65D2" w:rsidP="007C0E21">
            <w:pPr>
              <w:jc w:val="center"/>
              <w:rPr>
                <w:rFonts w:ascii="Arial" w:hAnsi="Arial" w:cs="Arial"/>
                <w:color w:val="000000"/>
                <w:sz w:val="16"/>
                <w:szCs w:val="16"/>
              </w:rPr>
            </w:pPr>
            <w:r>
              <w:rPr>
                <w:rFonts w:ascii="Arial" w:hAnsi="Arial" w:cs="Arial"/>
                <w:color w:val="000000"/>
                <w:sz w:val="16"/>
                <w:szCs w:val="16"/>
              </w:rPr>
              <w:t>35,745</w:t>
            </w:r>
          </w:p>
        </w:tc>
        <w:tc>
          <w:tcPr>
            <w:tcW w:w="2078" w:type="dxa"/>
            <w:tcBorders>
              <w:top w:val="nil"/>
              <w:left w:val="nil"/>
              <w:bottom w:val="nil"/>
              <w:right w:val="nil"/>
            </w:tcBorders>
          </w:tcPr>
          <w:p w:rsidR="00FC65D2" w:rsidRPr="00FC65D2" w:rsidRDefault="00FC65D2" w:rsidP="007C0E21">
            <w:pPr>
              <w:jc w:val="center"/>
              <w:rPr>
                <w:rFonts w:ascii="Arial" w:hAnsi="Arial" w:cs="Arial"/>
                <w:bCs/>
                <w:sz w:val="16"/>
                <w:szCs w:val="16"/>
              </w:rPr>
            </w:pPr>
            <w:r w:rsidRPr="00FC65D2">
              <w:rPr>
                <w:rFonts w:ascii="Arial" w:hAnsi="Arial" w:cs="Arial"/>
                <w:bCs/>
                <w:sz w:val="16"/>
                <w:szCs w:val="16"/>
              </w:rPr>
              <w:t>8.1</w:t>
            </w:r>
          </w:p>
        </w:tc>
      </w:tr>
      <w:tr w:rsidR="00FC65D2" w:rsidRPr="0071510E" w:rsidTr="003F2B41">
        <w:trPr>
          <w:trHeight w:val="300"/>
        </w:trPr>
        <w:tc>
          <w:tcPr>
            <w:tcW w:w="1890" w:type="dxa"/>
            <w:tcBorders>
              <w:top w:val="nil"/>
              <w:left w:val="nil"/>
              <w:bottom w:val="nil"/>
              <w:right w:val="nil"/>
            </w:tcBorders>
            <w:shd w:val="clear" w:color="auto" w:fill="auto"/>
            <w:noWrap/>
            <w:vAlign w:val="bottom"/>
            <w:hideMark/>
          </w:tcPr>
          <w:p w:rsidR="00FC65D2" w:rsidRDefault="00FC65D2" w:rsidP="00FC65D2">
            <w:pPr>
              <w:rPr>
                <w:rFonts w:ascii="Arial" w:hAnsi="Arial" w:cs="Arial"/>
                <w:sz w:val="16"/>
                <w:szCs w:val="16"/>
              </w:rPr>
            </w:pPr>
            <w:r>
              <w:rPr>
                <w:rFonts w:ascii="Arial" w:hAnsi="Arial" w:cs="Arial"/>
                <w:sz w:val="16"/>
                <w:szCs w:val="16"/>
              </w:rPr>
              <w:t>Buffalo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2,712,284</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231,810</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8.5</w:t>
            </w:r>
          </w:p>
        </w:tc>
      </w:tr>
      <w:tr w:rsidR="00FC65D2" w:rsidRPr="0071510E" w:rsidTr="003F2B41">
        <w:trPr>
          <w:trHeight w:val="300"/>
        </w:trPr>
        <w:tc>
          <w:tcPr>
            <w:tcW w:w="1890" w:type="dxa"/>
            <w:tcBorders>
              <w:top w:val="nil"/>
              <w:left w:val="nil"/>
              <w:bottom w:val="nil"/>
              <w:right w:val="nil"/>
            </w:tcBorders>
            <w:shd w:val="clear" w:color="auto" w:fill="auto"/>
            <w:noWrap/>
            <w:vAlign w:val="bottom"/>
            <w:hideMark/>
          </w:tcPr>
          <w:p w:rsidR="00FC65D2" w:rsidRDefault="00FC65D2" w:rsidP="00FC65D2">
            <w:pPr>
              <w:rPr>
                <w:rFonts w:ascii="Arial" w:hAnsi="Arial" w:cs="Arial"/>
                <w:sz w:val="16"/>
                <w:szCs w:val="16"/>
              </w:rPr>
            </w:pPr>
            <w:r>
              <w:rPr>
                <w:rFonts w:ascii="Arial" w:hAnsi="Arial" w:cs="Arial"/>
                <w:sz w:val="16"/>
                <w:szCs w:val="16"/>
              </w:rPr>
              <w:t>Elmira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256,823</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22,210</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8.6</w:t>
            </w:r>
          </w:p>
        </w:tc>
      </w:tr>
      <w:tr w:rsidR="00FC65D2" w:rsidRPr="0071510E" w:rsidTr="003F2B41">
        <w:trPr>
          <w:trHeight w:val="300"/>
        </w:trPr>
        <w:tc>
          <w:tcPr>
            <w:tcW w:w="1890" w:type="dxa"/>
            <w:tcBorders>
              <w:top w:val="nil"/>
              <w:left w:val="nil"/>
              <w:bottom w:val="nil"/>
              <w:right w:val="nil"/>
            </w:tcBorders>
            <w:shd w:val="clear" w:color="auto" w:fill="auto"/>
            <w:noWrap/>
            <w:vAlign w:val="bottom"/>
            <w:hideMark/>
          </w:tcPr>
          <w:p w:rsidR="00FC65D2" w:rsidRDefault="00FC65D2" w:rsidP="00FC65D2">
            <w:pPr>
              <w:rPr>
                <w:rFonts w:ascii="Arial" w:hAnsi="Arial" w:cs="Arial"/>
                <w:sz w:val="16"/>
                <w:szCs w:val="16"/>
              </w:rPr>
            </w:pPr>
            <w:r>
              <w:rPr>
                <w:rFonts w:ascii="Arial" w:hAnsi="Arial" w:cs="Arial"/>
                <w:sz w:val="16"/>
                <w:szCs w:val="16"/>
              </w:rPr>
              <w:t>Jamestown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302,667</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25,053</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8.3</w:t>
            </w:r>
          </w:p>
        </w:tc>
      </w:tr>
      <w:tr w:rsidR="00FC65D2" w:rsidRPr="0071510E" w:rsidTr="003F2B41">
        <w:trPr>
          <w:trHeight w:val="300"/>
        </w:trPr>
        <w:tc>
          <w:tcPr>
            <w:tcW w:w="1890" w:type="dxa"/>
            <w:tcBorders>
              <w:top w:val="nil"/>
              <w:left w:val="nil"/>
              <w:bottom w:val="nil"/>
              <w:right w:val="nil"/>
            </w:tcBorders>
            <w:shd w:val="clear" w:color="auto" w:fill="auto"/>
            <w:noWrap/>
            <w:vAlign w:val="bottom"/>
            <w:hideMark/>
          </w:tcPr>
          <w:p w:rsidR="00FC65D2" w:rsidRDefault="00FC65D2" w:rsidP="00FC65D2">
            <w:pPr>
              <w:rPr>
                <w:rFonts w:ascii="Arial" w:hAnsi="Arial" w:cs="Arial"/>
                <w:sz w:val="16"/>
                <w:szCs w:val="16"/>
              </w:rPr>
            </w:pPr>
            <w:r>
              <w:rPr>
                <w:rFonts w:ascii="Arial" w:hAnsi="Arial" w:cs="Arial"/>
                <w:sz w:val="16"/>
                <w:szCs w:val="16"/>
              </w:rPr>
              <w:t>Lockport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233,306</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19,480</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8.3</w:t>
            </w:r>
          </w:p>
        </w:tc>
      </w:tr>
      <w:tr w:rsidR="00FC65D2" w:rsidRPr="0071510E" w:rsidTr="003F2B41">
        <w:trPr>
          <w:trHeight w:val="300"/>
        </w:trPr>
        <w:tc>
          <w:tcPr>
            <w:tcW w:w="1890" w:type="dxa"/>
            <w:tcBorders>
              <w:top w:val="nil"/>
              <w:left w:val="nil"/>
              <w:bottom w:val="nil"/>
              <w:right w:val="nil"/>
            </w:tcBorders>
            <w:shd w:val="clear" w:color="auto" w:fill="auto"/>
            <w:noWrap/>
            <w:vAlign w:val="bottom"/>
          </w:tcPr>
          <w:p w:rsidR="00FC65D2" w:rsidRDefault="00FC65D2" w:rsidP="00FC65D2">
            <w:pPr>
              <w:rPr>
                <w:rFonts w:ascii="Arial" w:hAnsi="Arial" w:cs="Arial"/>
                <w:sz w:val="16"/>
                <w:szCs w:val="16"/>
              </w:rPr>
            </w:pPr>
            <w:r>
              <w:rPr>
                <w:rFonts w:ascii="Arial" w:hAnsi="Arial" w:cs="Arial"/>
                <w:sz w:val="16"/>
                <w:szCs w:val="16"/>
              </w:rPr>
              <w:t>Niagara Falls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528,158</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47,682</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9.0</w:t>
            </w:r>
          </w:p>
        </w:tc>
      </w:tr>
      <w:tr w:rsidR="00FC65D2" w:rsidRPr="0071510E" w:rsidTr="003F2B41">
        <w:trPr>
          <w:trHeight w:val="300"/>
        </w:trPr>
        <w:tc>
          <w:tcPr>
            <w:tcW w:w="1890" w:type="dxa"/>
            <w:tcBorders>
              <w:top w:val="nil"/>
              <w:left w:val="nil"/>
              <w:bottom w:val="nil"/>
              <w:right w:val="nil"/>
            </w:tcBorders>
            <w:shd w:val="clear" w:color="auto" w:fill="auto"/>
            <w:noWrap/>
            <w:vAlign w:val="bottom"/>
          </w:tcPr>
          <w:p w:rsidR="00FC65D2" w:rsidRDefault="00FC65D2" w:rsidP="00FC65D2">
            <w:pPr>
              <w:rPr>
                <w:rFonts w:ascii="Arial" w:hAnsi="Arial" w:cs="Arial"/>
                <w:sz w:val="16"/>
                <w:szCs w:val="16"/>
              </w:rPr>
            </w:pPr>
            <w:r>
              <w:rPr>
                <w:rFonts w:ascii="Arial" w:hAnsi="Arial" w:cs="Arial"/>
                <w:sz w:val="16"/>
                <w:szCs w:val="16"/>
              </w:rPr>
              <w:t>Rochester city, NY</w:t>
            </w:r>
          </w:p>
        </w:tc>
        <w:tc>
          <w:tcPr>
            <w:tcW w:w="2112"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2,222,324</w:t>
            </w:r>
          </w:p>
        </w:tc>
        <w:tc>
          <w:tcPr>
            <w:tcW w:w="2128" w:type="dxa"/>
            <w:tcBorders>
              <w:top w:val="nil"/>
              <w:left w:val="nil"/>
              <w:bottom w:val="nil"/>
              <w:right w:val="nil"/>
            </w:tcBorders>
            <w:vAlign w:val="bottom"/>
          </w:tcPr>
          <w:p w:rsidR="00FC65D2" w:rsidRDefault="00FC65D2" w:rsidP="007C0E21">
            <w:pPr>
              <w:jc w:val="center"/>
              <w:rPr>
                <w:rFonts w:ascii="Arial" w:hAnsi="Arial" w:cs="Arial"/>
                <w:color w:val="000000"/>
                <w:sz w:val="16"/>
                <w:szCs w:val="16"/>
              </w:rPr>
            </w:pPr>
            <w:r>
              <w:rPr>
                <w:rFonts w:ascii="Arial" w:hAnsi="Arial" w:cs="Arial"/>
                <w:color w:val="000000"/>
                <w:sz w:val="16"/>
                <w:szCs w:val="16"/>
              </w:rPr>
              <w:t>190,097</w:t>
            </w:r>
          </w:p>
        </w:tc>
        <w:tc>
          <w:tcPr>
            <w:tcW w:w="2078" w:type="dxa"/>
            <w:tcBorders>
              <w:top w:val="nil"/>
              <w:left w:val="nil"/>
              <w:bottom w:val="nil"/>
              <w:right w:val="nil"/>
            </w:tcBorders>
            <w:vAlign w:val="bottom"/>
          </w:tcPr>
          <w:p w:rsidR="00FC65D2" w:rsidRDefault="00FC65D2" w:rsidP="007C0E21">
            <w:pPr>
              <w:jc w:val="center"/>
              <w:rPr>
                <w:rFonts w:ascii="Arial" w:hAnsi="Arial" w:cs="Arial"/>
                <w:sz w:val="16"/>
                <w:szCs w:val="16"/>
              </w:rPr>
            </w:pPr>
            <w:r>
              <w:rPr>
                <w:rFonts w:ascii="Arial" w:hAnsi="Arial" w:cs="Arial"/>
                <w:sz w:val="16"/>
                <w:szCs w:val="16"/>
              </w:rPr>
              <w:t>8.6</w:t>
            </w:r>
          </w:p>
        </w:tc>
      </w:tr>
      <w:tr w:rsidR="00FC65D2" w:rsidRPr="0071510E" w:rsidTr="003F2B41">
        <w:trPr>
          <w:trHeight w:val="300"/>
        </w:trPr>
        <w:tc>
          <w:tcPr>
            <w:tcW w:w="1890" w:type="dxa"/>
            <w:tcBorders>
              <w:top w:val="nil"/>
              <w:left w:val="nil"/>
              <w:bottom w:val="nil"/>
              <w:right w:val="nil"/>
            </w:tcBorders>
            <w:shd w:val="clear" w:color="auto" w:fill="auto"/>
            <w:noWrap/>
            <w:vAlign w:val="bottom"/>
          </w:tcPr>
          <w:p w:rsidR="00FC65D2" w:rsidRDefault="00FC65D2" w:rsidP="00920295">
            <w:pPr>
              <w:rPr>
                <w:rFonts w:ascii="Arial" w:hAnsi="Arial" w:cs="Arial"/>
                <w:b/>
                <w:bCs/>
                <w:sz w:val="16"/>
                <w:szCs w:val="16"/>
              </w:rPr>
            </w:pPr>
            <w:r>
              <w:rPr>
                <w:rFonts w:ascii="Arial" w:hAnsi="Arial" w:cs="Arial"/>
                <w:b/>
                <w:bCs/>
                <w:sz w:val="16"/>
                <w:szCs w:val="16"/>
              </w:rPr>
              <w:t>20% Above National Average</w:t>
            </w:r>
          </w:p>
        </w:tc>
        <w:tc>
          <w:tcPr>
            <w:tcW w:w="6318" w:type="dxa"/>
            <w:gridSpan w:val="3"/>
            <w:tcBorders>
              <w:top w:val="nil"/>
              <w:left w:val="nil"/>
              <w:bottom w:val="nil"/>
              <w:right w:val="nil"/>
            </w:tcBorders>
            <w:vAlign w:val="bottom"/>
          </w:tcPr>
          <w:p w:rsidR="00FC65D2" w:rsidRDefault="00FC65D2" w:rsidP="00920295">
            <w:pPr>
              <w:jc w:val="center"/>
              <w:rPr>
                <w:rFonts w:ascii="Arial" w:hAnsi="Arial" w:cs="Arial"/>
                <w:b/>
                <w:bCs/>
                <w:color w:val="000000"/>
                <w:sz w:val="16"/>
                <w:szCs w:val="16"/>
              </w:rPr>
            </w:pPr>
            <w:r>
              <w:rPr>
                <w:rFonts w:ascii="Arial" w:hAnsi="Arial" w:cs="Arial"/>
                <w:b/>
                <w:bCs/>
                <w:color w:val="000000"/>
                <w:sz w:val="16"/>
                <w:szCs w:val="16"/>
              </w:rPr>
              <w:t>7.9</w:t>
            </w:r>
          </w:p>
        </w:tc>
      </w:tr>
      <w:tr w:rsidR="00FC65D2" w:rsidRPr="0071510E" w:rsidTr="003F2B41">
        <w:trPr>
          <w:trHeight w:val="300"/>
        </w:trPr>
        <w:tc>
          <w:tcPr>
            <w:tcW w:w="1890" w:type="dxa"/>
            <w:tcBorders>
              <w:top w:val="nil"/>
              <w:left w:val="nil"/>
              <w:bottom w:val="nil"/>
              <w:right w:val="nil"/>
            </w:tcBorders>
            <w:shd w:val="clear" w:color="auto" w:fill="auto"/>
            <w:noWrap/>
            <w:vAlign w:val="bottom"/>
          </w:tcPr>
          <w:p w:rsidR="00FC65D2" w:rsidRDefault="00FC65D2" w:rsidP="00920295">
            <w:pPr>
              <w:rPr>
                <w:rFonts w:ascii="Arial" w:hAnsi="Arial" w:cs="Arial"/>
                <w:b/>
                <w:bCs/>
                <w:sz w:val="16"/>
                <w:szCs w:val="16"/>
              </w:rPr>
            </w:pPr>
          </w:p>
          <w:p w:rsidR="00792366" w:rsidRDefault="00792366" w:rsidP="00920295">
            <w:pPr>
              <w:rPr>
                <w:rFonts w:ascii="Arial" w:hAnsi="Arial" w:cs="Arial"/>
                <w:b/>
                <w:bCs/>
                <w:sz w:val="16"/>
                <w:szCs w:val="16"/>
              </w:rPr>
            </w:pPr>
          </w:p>
        </w:tc>
        <w:tc>
          <w:tcPr>
            <w:tcW w:w="4240" w:type="dxa"/>
            <w:gridSpan w:val="2"/>
            <w:tcBorders>
              <w:top w:val="nil"/>
              <w:left w:val="nil"/>
              <w:bottom w:val="nil"/>
              <w:right w:val="nil"/>
            </w:tcBorders>
            <w:vAlign w:val="bottom"/>
          </w:tcPr>
          <w:p w:rsidR="00FC65D2" w:rsidRDefault="00FC65D2" w:rsidP="00920295">
            <w:pPr>
              <w:rPr>
                <w:rFonts w:ascii="Arial" w:hAnsi="Arial" w:cs="Arial"/>
                <w:b/>
                <w:bCs/>
                <w:color w:val="000000"/>
                <w:sz w:val="16"/>
                <w:szCs w:val="16"/>
              </w:rPr>
            </w:pPr>
          </w:p>
        </w:tc>
        <w:tc>
          <w:tcPr>
            <w:tcW w:w="2078" w:type="dxa"/>
            <w:tcBorders>
              <w:top w:val="nil"/>
              <w:left w:val="nil"/>
              <w:bottom w:val="nil"/>
              <w:right w:val="nil"/>
            </w:tcBorders>
          </w:tcPr>
          <w:p w:rsidR="00FC65D2" w:rsidRDefault="00FC65D2" w:rsidP="00920295">
            <w:pPr>
              <w:rPr>
                <w:rFonts w:ascii="Arial" w:hAnsi="Arial" w:cs="Arial"/>
                <w:b/>
                <w:bCs/>
                <w:color w:val="000000"/>
                <w:sz w:val="16"/>
                <w:szCs w:val="16"/>
              </w:rPr>
            </w:pPr>
          </w:p>
        </w:tc>
      </w:tr>
    </w:tbl>
    <w:p w:rsidR="00FC65D2" w:rsidRDefault="00792366" w:rsidP="00E96206">
      <w:pPr>
        <w:ind w:left="420"/>
        <w:rPr>
          <w:sz w:val="24"/>
          <w:szCs w:val="24"/>
        </w:rPr>
      </w:pPr>
      <w:r>
        <w:rPr>
          <w:sz w:val="24"/>
          <w:szCs w:val="24"/>
        </w:rPr>
        <w:t xml:space="preserve">Finally, four contiguous Community Districts (or Public Use Microdata Areas, PUMAs) within New York County making up the Upper Manhattan Region are also eligible for a waiver based on having an unemployment rate that exceeds 20 percent above the national average for the 24-month period of March 2013-Feburary 2015. Neither the national Bureau of Labor Statistics nor the New York Department of Labor collect data for sub-county areas in New York County. </w:t>
      </w:r>
      <w:r w:rsidR="00C07BEE">
        <w:rPr>
          <w:sz w:val="24"/>
          <w:szCs w:val="24"/>
        </w:rPr>
        <w:t xml:space="preserve"> </w:t>
      </w:r>
      <w:r w:rsidR="000C2329">
        <w:rPr>
          <w:sz w:val="24"/>
          <w:szCs w:val="24"/>
        </w:rPr>
        <w:t xml:space="preserve">The U.S. Census Bureau produces estimates for PUMAs in its 5-year American Community Survey (ACS) estimates. </w:t>
      </w:r>
      <w:r w:rsidR="00C07BEE">
        <w:rPr>
          <w:sz w:val="24"/>
          <w:szCs w:val="24"/>
        </w:rPr>
        <w:t xml:space="preserve"> </w:t>
      </w:r>
      <w:r>
        <w:rPr>
          <w:sz w:val="24"/>
          <w:szCs w:val="24"/>
        </w:rPr>
        <w:t xml:space="preserve">Labor force data was calculated for these areas based on applying county shares from 5-Year </w:t>
      </w:r>
      <w:r w:rsidR="000C2329">
        <w:rPr>
          <w:sz w:val="24"/>
          <w:szCs w:val="24"/>
        </w:rPr>
        <w:t>ACS</w:t>
      </w:r>
      <w:r>
        <w:rPr>
          <w:sz w:val="24"/>
          <w:szCs w:val="24"/>
        </w:rPr>
        <w:t xml:space="preserve"> data to current Bureau of Labor Statistics data</w:t>
      </w:r>
      <w:r w:rsidR="000C2329">
        <w:rPr>
          <w:sz w:val="24"/>
          <w:szCs w:val="24"/>
        </w:rPr>
        <w:t xml:space="preserve"> for the county</w:t>
      </w:r>
      <w:r>
        <w:rPr>
          <w:sz w:val="24"/>
          <w:szCs w:val="24"/>
        </w:rPr>
        <w:t xml:space="preserve">, using the same method commonly used to calculate unemployment rates for tribal areas. </w:t>
      </w:r>
    </w:p>
    <w:p w:rsidR="000C2329" w:rsidRDefault="000C2329" w:rsidP="00E96206">
      <w:pPr>
        <w:ind w:left="420"/>
        <w:rPr>
          <w:sz w:val="24"/>
          <w:szCs w:val="24"/>
        </w:rPr>
      </w:pPr>
    </w:p>
    <w:p w:rsidR="000C2329" w:rsidRDefault="000C2329" w:rsidP="00E96206">
      <w:pPr>
        <w:ind w:left="420"/>
        <w:rPr>
          <w:sz w:val="24"/>
          <w:szCs w:val="24"/>
        </w:rPr>
      </w:pPr>
      <w:r>
        <w:rPr>
          <w:sz w:val="24"/>
          <w:szCs w:val="24"/>
        </w:rPr>
        <w:t xml:space="preserve">These four Community </w:t>
      </w:r>
      <w:r w:rsidR="007D0BCA">
        <w:rPr>
          <w:sz w:val="24"/>
          <w:szCs w:val="24"/>
        </w:rPr>
        <w:t xml:space="preserve">Board </w:t>
      </w:r>
      <w:r>
        <w:rPr>
          <w:sz w:val="24"/>
          <w:szCs w:val="24"/>
        </w:rPr>
        <w:t xml:space="preserve">Districts/PUMAs, Community </w:t>
      </w:r>
      <w:r w:rsidR="007D0BCA">
        <w:rPr>
          <w:sz w:val="24"/>
          <w:szCs w:val="24"/>
        </w:rPr>
        <w:t xml:space="preserve">Board </w:t>
      </w:r>
      <w:r>
        <w:rPr>
          <w:sz w:val="24"/>
          <w:szCs w:val="24"/>
        </w:rPr>
        <w:t>Districts 9, 10, 11 and 12, are all contiguous and make up the upper portion of New York County, above E 106</w:t>
      </w:r>
      <w:r w:rsidRPr="000C2329">
        <w:rPr>
          <w:sz w:val="24"/>
          <w:szCs w:val="24"/>
          <w:vertAlign w:val="superscript"/>
        </w:rPr>
        <w:t>th</w:t>
      </w:r>
      <w:r>
        <w:rPr>
          <w:sz w:val="24"/>
          <w:szCs w:val="24"/>
        </w:rPr>
        <w:t xml:space="preserve"> St (on the East Side) and W 96</w:t>
      </w:r>
      <w:r w:rsidRPr="000C2329">
        <w:rPr>
          <w:sz w:val="24"/>
          <w:szCs w:val="24"/>
          <w:vertAlign w:val="superscript"/>
        </w:rPr>
        <w:t>th</w:t>
      </w:r>
      <w:r>
        <w:rPr>
          <w:sz w:val="24"/>
          <w:szCs w:val="24"/>
        </w:rPr>
        <w:t xml:space="preserve"> St (on the West Side)</w:t>
      </w:r>
      <w:r w:rsidR="000F5461">
        <w:rPr>
          <w:sz w:val="24"/>
          <w:szCs w:val="24"/>
        </w:rPr>
        <w:t>, as shown in the attached map</w:t>
      </w:r>
      <w:r>
        <w:rPr>
          <w:sz w:val="24"/>
          <w:szCs w:val="24"/>
        </w:rPr>
        <w:t xml:space="preserve">. </w:t>
      </w:r>
      <w:r w:rsidR="00C07BEE">
        <w:rPr>
          <w:sz w:val="24"/>
          <w:szCs w:val="24"/>
        </w:rPr>
        <w:t xml:space="preserve"> </w:t>
      </w:r>
      <w:r>
        <w:rPr>
          <w:sz w:val="24"/>
          <w:szCs w:val="24"/>
        </w:rPr>
        <w:t>This area includes the Upper Manhattan Empowerment Zone, an area that receives federal, state, and city funding for economic development due to its status as an economically distressed area.</w:t>
      </w:r>
      <w:r w:rsidR="007D0BCA">
        <w:rPr>
          <w:rStyle w:val="FootnoteReference"/>
          <w:sz w:val="24"/>
          <w:szCs w:val="24"/>
        </w:rPr>
        <w:footnoteReference w:id="1"/>
      </w:r>
      <w:r>
        <w:rPr>
          <w:sz w:val="24"/>
          <w:szCs w:val="24"/>
        </w:rPr>
        <w:t xml:space="preserve"> </w:t>
      </w:r>
    </w:p>
    <w:p w:rsidR="000C2329" w:rsidRDefault="000C2329" w:rsidP="00E96206">
      <w:pPr>
        <w:ind w:left="420"/>
        <w:rPr>
          <w:sz w:val="24"/>
          <w:szCs w:val="24"/>
        </w:rPr>
      </w:pPr>
    </w:p>
    <w:tbl>
      <w:tblPr>
        <w:tblW w:w="10521" w:type="dxa"/>
        <w:tblInd w:w="-930" w:type="dxa"/>
        <w:tblLook w:val="04A0" w:firstRow="1" w:lastRow="0" w:firstColumn="1" w:lastColumn="0" w:noHBand="0" w:noVBand="1"/>
      </w:tblPr>
      <w:tblGrid>
        <w:gridCol w:w="1038"/>
        <w:gridCol w:w="951"/>
        <w:gridCol w:w="928"/>
        <w:gridCol w:w="551"/>
        <w:gridCol w:w="564"/>
        <w:gridCol w:w="1073"/>
        <w:gridCol w:w="1115"/>
        <w:gridCol w:w="957"/>
        <w:gridCol w:w="1115"/>
        <w:gridCol w:w="936"/>
        <w:gridCol w:w="558"/>
        <w:gridCol w:w="735"/>
      </w:tblGrid>
      <w:tr w:rsidR="000C2329" w:rsidRPr="000C2329" w:rsidTr="00696D74">
        <w:trPr>
          <w:trHeight w:val="530"/>
        </w:trPr>
        <w:tc>
          <w:tcPr>
            <w:tcW w:w="1989" w:type="dxa"/>
            <w:gridSpan w:val="2"/>
            <w:tcBorders>
              <w:top w:val="nil"/>
              <w:left w:val="nil"/>
              <w:bottom w:val="nil"/>
              <w:right w:val="nil"/>
            </w:tcBorders>
            <w:shd w:val="clear" w:color="auto" w:fill="auto"/>
            <w:vAlign w:val="bottom"/>
            <w:hideMark/>
          </w:tcPr>
          <w:p w:rsidR="000C2329" w:rsidRPr="000C2329" w:rsidRDefault="000C2329" w:rsidP="000C2329">
            <w:pPr>
              <w:rPr>
                <w:rFonts w:ascii="Calibri" w:hAnsi="Calibri"/>
                <w:b/>
                <w:bCs/>
                <w:color w:val="000000"/>
                <w:sz w:val="22"/>
                <w:szCs w:val="22"/>
              </w:rPr>
            </w:pPr>
            <w:r w:rsidRPr="000C2329">
              <w:rPr>
                <w:rFonts w:ascii="Calibri" w:hAnsi="Calibri"/>
                <w:b/>
                <w:bCs/>
                <w:color w:val="000000"/>
                <w:sz w:val="22"/>
                <w:szCs w:val="22"/>
              </w:rPr>
              <w:t>Calculation, Upper Manhattan Region</w:t>
            </w:r>
          </w:p>
        </w:tc>
        <w:tc>
          <w:tcPr>
            <w:tcW w:w="2043" w:type="dxa"/>
            <w:gridSpan w:val="3"/>
            <w:tcBorders>
              <w:top w:val="single" w:sz="4" w:space="0" w:color="auto"/>
              <w:left w:val="single" w:sz="4" w:space="0" w:color="auto"/>
              <w:bottom w:val="single" w:sz="4" w:space="0" w:color="auto"/>
              <w:right w:val="nil"/>
            </w:tcBorders>
            <w:shd w:val="clear" w:color="FFFFFF" w:fill="FFCC00"/>
            <w:noWrap/>
            <w:vAlign w:val="bottom"/>
            <w:hideMark/>
          </w:tcPr>
          <w:p w:rsidR="000C2329" w:rsidRPr="000C2329" w:rsidRDefault="000C2329" w:rsidP="000C2329">
            <w:pPr>
              <w:jc w:val="center"/>
              <w:rPr>
                <w:rFonts w:ascii="Arial" w:hAnsi="Arial" w:cs="Arial"/>
                <w:sz w:val="16"/>
                <w:szCs w:val="16"/>
              </w:rPr>
            </w:pPr>
            <w:r w:rsidRPr="000C2329">
              <w:rPr>
                <w:rFonts w:ascii="Arial" w:hAnsi="Arial" w:cs="Arial"/>
                <w:sz w:val="16"/>
                <w:szCs w:val="16"/>
              </w:rPr>
              <w:t>Census Ratios</w:t>
            </w:r>
          </w:p>
        </w:tc>
        <w:tc>
          <w:tcPr>
            <w:tcW w:w="2188" w:type="dxa"/>
            <w:gridSpan w:val="2"/>
            <w:tcBorders>
              <w:top w:val="single" w:sz="4" w:space="0" w:color="auto"/>
              <w:left w:val="single" w:sz="4" w:space="0" w:color="auto"/>
              <w:bottom w:val="single" w:sz="4" w:space="0" w:color="auto"/>
              <w:right w:val="nil"/>
            </w:tcBorders>
            <w:shd w:val="clear" w:color="FFFFFF" w:fill="FFCC00"/>
            <w:vAlign w:val="bottom"/>
            <w:hideMark/>
          </w:tcPr>
          <w:p w:rsidR="000C2329" w:rsidRPr="000C2329" w:rsidRDefault="000C2329" w:rsidP="000C2329">
            <w:pPr>
              <w:jc w:val="center"/>
              <w:rPr>
                <w:rFonts w:ascii="Arial" w:hAnsi="Arial" w:cs="Arial"/>
                <w:sz w:val="16"/>
                <w:szCs w:val="16"/>
              </w:rPr>
            </w:pPr>
            <w:r w:rsidRPr="000C2329">
              <w:rPr>
                <w:rFonts w:ascii="Arial" w:hAnsi="Arial" w:cs="Arial"/>
                <w:sz w:val="16"/>
                <w:szCs w:val="16"/>
              </w:rPr>
              <w:t>New York County, March 2013-February 2015</w:t>
            </w:r>
          </w:p>
        </w:tc>
        <w:tc>
          <w:tcPr>
            <w:tcW w:w="4301" w:type="dxa"/>
            <w:gridSpan w:val="5"/>
            <w:tcBorders>
              <w:top w:val="single" w:sz="4" w:space="0" w:color="auto"/>
              <w:left w:val="single" w:sz="4" w:space="0" w:color="auto"/>
              <w:bottom w:val="single" w:sz="4" w:space="0" w:color="auto"/>
              <w:right w:val="single" w:sz="4" w:space="0" w:color="000000"/>
            </w:tcBorders>
            <w:shd w:val="clear" w:color="FFFFFF" w:fill="FFCC00"/>
            <w:noWrap/>
            <w:vAlign w:val="bottom"/>
            <w:hideMark/>
          </w:tcPr>
          <w:p w:rsidR="000C2329" w:rsidRPr="000C2329" w:rsidRDefault="000C2329" w:rsidP="000C2329">
            <w:pPr>
              <w:jc w:val="center"/>
              <w:rPr>
                <w:rFonts w:ascii="Arial" w:hAnsi="Arial" w:cs="Arial"/>
                <w:sz w:val="16"/>
                <w:szCs w:val="16"/>
              </w:rPr>
            </w:pPr>
            <w:r w:rsidRPr="000C2329">
              <w:rPr>
                <w:rFonts w:ascii="Arial" w:hAnsi="Arial" w:cs="Arial"/>
                <w:sz w:val="16"/>
                <w:szCs w:val="16"/>
              </w:rPr>
              <w:t>March 2013-February 2015 Calculation</w:t>
            </w:r>
          </w:p>
        </w:tc>
      </w:tr>
      <w:tr w:rsidR="000C2329" w:rsidRPr="000C2329" w:rsidTr="00696D74">
        <w:trPr>
          <w:trHeight w:val="465"/>
        </w:trPr>
        <w:tc>
          <w:tcPr>
            <w:tcW w:w="1989" w:type="dxa"/>
            <w:gridSpan w:val="2"/>
            <w:tcBorders>
              <w:top w:val="nil"/>
              <w:left w:val="nil"/>
              <w:bottom w:val="nil"/>
              <w:right w:val="nil"/>
            </w:tcBorders>
            <w:shd w:val="clear" w:color="auto" w:fill="auto"/>
            <w:noWrap/>
            <w:vAlign w:val="bottom"/>
            <w:hideMark/>
          </w:tcPr>
          <w:p w:rsidR="000C2329" w:rsidRPr="000C2329" w:rsidRDefault="000C2329" w:rsidP="000C2329">
            <w:pPr>
              <w:jc w:val="center"/>
              <w:rPr>
                <w:rFonts w:ascii="Arial" w:hAnsi="Arial" w:cs="Arial"/>
                <w:sz w:val="16"/>
                <w:szCs w:val="16"/>
              </w:rPr>
            </w:pPr>
          </w:p>
        </w:tc>
        <w:tc>
          <w:tcPr>
            <w:tcW w:w="928" w:type="dxa"/>
            <w:tcBorders>
              <w:top w:val="nil"/>
              <w:left w:val="single" w:sz="4" w:space="0" w:color="auto"/>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Employed</w:t>
            </w:r>
          </w:p>
        </w:tc>
        <w:tc>
          <w:tcPr>
            <w:tcW w:w="1115" w:type="dxa"/>
            <w:gridSpan w:val="2"/>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Unemployed</w:t>
            </w:r>
          </w:p>
        </w:tc>
        <w:tc>
          <w:tcPr>
            <w:tcW w:w="1073" w:type="dxa"/>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Employed</w:t>
            </w:r>
          </w:p>
        </w:tc>
        <w:tc>
          <w:tcPr>
            <w:tcW w:w="1115" w:type="dxa"/>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Unemployed</w:t>
            </w:r>
          </w:p>
        </w:tc>
        <w:tc>
          <w:tcPr>
            <w:tcW w:w="957" w:type="dxa"/>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Employed</w:t>
            </w:r>
          </w:p>
        </w:tc>
        <w:tc>
          <w:tcPr>
            <w:tcW w:w="1115" w:type="dxa"/>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Unemployed</w:t>
            </w:r>
          </w:p>
        </w:tc>
        <w:tc>
          <w:tcPr>
            <w:tcW w:w="936" w:type="dxa"/>
            <w:tcBorders>
              <w:top w:val="nil"/>
              <w:left w:val="nil"/>
              <w:bottom w:val="single" w:sz="4" w:space="0" w:color="auto"/>
              <w:right w:val="single" w:sz="4" w:space="0" w:color="auto"/>
            </w:tcBorders>
            <w:shd w:val="clear" w:color="FFFFFF" w:fill="FFCC00"/>
            <w:noWrap/>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Labor force</w:t>
            </w:r>
          </w:p>
        </w:tc>
        <w:tc>
          <w:tcPr>
            <w:tcW w:w="1293" w:type="dxa"/>
            <w:gridSpan w:val="2"/>
            <w:tcBorders>
              <w:top w:val="nil"/>
              <w:left w:val="nil"/>
              <w:bottom w:val="single" w:sz="4" w:space="0" w:color="auto"/>
              <w:right w:val="single" w:sz="4" w:space="0" w:color="auto"/>
            </w:tcBorders>
            <w:shd w:val="clear" w:color="FFFFFF" w:fill="FFCC00"/>
            <w:vAlign w:val="bottom"/>
            <w:hideMark/>
          </w:tcPr>
          <w:p w:rsidR="000C2329" w:rsidRPr="000C2329" w:rsidRDefault="000C2329" w:rsidP="000C2329">
            <w:pPr>
              <w:rPr>
                <w:rFonts w:ascii="Arial" w:hAnsi="Arial" w:cs="Arial"/>
                <w:sz w:val="16"/>
                <w:szCs w:val="16"/>
              </w:rPr>
            </w:pPr>
            <w:r w:rsidRPr="000C2329">
              <w:rPr>
                <w:rFonts w:ascii="Arial" w:hAnsi="Arial" w:cs="Arial"/>
                <w:sz w:val="16"/>
                <w:szCs w:val="16"/>
              </w:rPr>
              <w:t>Unemployment Rate</w:t>
            </w:r>
          </w:p>
        </w:tc>
      </w:tr>
      <w:tr w:rsidR="000C2329" w:rsidRPr="000C2329" w:rsidTr="00696D74">
        <w:trPr>
          <w:trHeight w:val="900"/>
        </w:trPr>
        <w:tc>
          <w:tcPr>
            <w:tcW w:w="1989" w:type="dxa"/>
            <w:gridSpan w:val="2"/>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NYC-Manhattan Community District 12--Washington Heights, Inwood &amp; Marble Hill PUMA; New York</w:t>
            </w:r>
          </w:p>
        </w:tc>
        <w:tc>
          <w:tcPr>
            <w:tcW w:w="928" w:type="dxa"/>
            <w:tcBorders>
              <w:top w:val="nil"/>
              <w:left w:val="nil"/>
              <w:bottom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0.114706</w:t>
            </w:r>
          </w:p>
        </w:tc>
        <w:tc>
          <w:tcPr>
            <w:tcW w:w="1115" w:type="dxa"/>
            <w:gridSpan w:val="2"/>
            <w:tcBorders>
              <w:top w:val="nil"/>
              <w:left w:val="nil"/>
              <w:bottom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0.216589</w:t>
            </w:r>
          </w:p>
        </w:tc>
        <w:tc>
          <w:tcPr>
            <w:tcW w:w="1073" w:type="dxa"/>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20,438,233 </w:t>
            </w:r>
          </w:p>
        </w:tc>
        <w:tc>
          <w:tcPr>
            <w:tcW w:w="1115" w:type="dxa"/>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1,431,269 </w:t>
            </w:r>
          </w:p>
        </w:tc>
        <w:tc>
          <w:tcPr>
            <w:tcW w:w="957"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2,344,388 </w:t>
            </w:r>
          </w:p>
        </w:tc>
        <w:tc>
          <w:tcPr>
            <w:tcW w:w="1115"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309,997 </w:t>
            </w:r>
          </w:p>
        </w:tc>
        <w:tc>
          <w:tcPr>
            <w:tcW w:w="936"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2,654,385 </w:t>
            </w:r>
          </w:p>
        </w:tc>
        <w:tc>
          <w:tcPr>
            <w:tcW w:w="1293" w:type="dxa"/>
            <w:gridSpan w:val="2"/>
            <w:tcBorders>
              <w:top w:val="nil"/>
              <w:left w:val="nil"/>
              <w:bottom w:val="nil"/>
              <w:right w:val="nil"/>
            </w:tcBorders>
            <w:shd w:val="clear" w:color="auto" w:fill="auto"/>
            <w:noWrap/>
            <w:vAlign w:val="bottom"/>
            <w:hideMark/>
          </w:tcPr>
          <w:p w:rsidR="000C2329" w:rsidRPr="000C2329" w:rsidRDefault="000C2329" w:rsidP="000C2329">
            <w:pPr>
              <w:jc w:val="right"/>
              <w:rPr>
                <w:rFonts w:ascii="Arial" w:hAnsi="Arial" w:cs="Arial"/>
                <w:sz w:val="16"/>
                <w:szCs w:val="16"/>
              </w:rPr>
            </w:pPr>
            <w:r w:rsidRPr="000C2329">
              <w:rPr>
                <w:rFonts w:ascii="Arial" w:hAnsi="Arial" w:cs="Arial"/>
                <w:sz w:val="16"/>
                <w:szCs w:val="16"/>
              </w:rPr>
              <w:t>11.7</w:t>
            </w:r>
          </w:p>
        </w:tc>
      </w:tr>
      <w:tr w:rsidR="000C2329" w:rsidRPr="000C2329" w:rsidTr="00696D74">
        <w:trPr>
          <w:trHeight w:val="930"/>
        </w:trPr>
        <w:tc>
          <w:tcPr>
            <w:tcW w:w="1989" w:type="dxa"/>
            <w:gridSpan w:val="2"/>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NYC-Manhattan Community District 9--Hamilton Heights, Manhattanville &amp; West Harlem PUMA; New York</w:t>
            </w:r>
          </w:p>
        </w:tc>
        <w:tc>
          <w:tcPr>
            <w:tcW w:w="928" w:type="dxa"/>
            <w:tcBorders>
              <w:top w:val="nil"/>
              <w:left w:val="nil"/>
              <w:bottom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0.068866</w:t>
            </w:r>
          </w:p>
        </w:tc>
        <w:tc>
          <w:tcPr>
            <w:tcW w:w="1115" w:type="dxa"/>
            <w:gridSpan w:val="2"/>
            <w:tcBorders>
              <w:top w:val="nil"/>
              <w:left w:val="nil"/>
              <w:bottom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0.077887</w:t>
            </w:r>
          </w:p>
        </w:tc>
        <w:tc>
          <w:tcPr>
            <w:tcW w:w="1073" w:type="dxa"/>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20,438,233 </w:t>
            </w:r>
          </w:p>
        </w:tc>
        <w:tc>
          <w:tcPr>
            <w:tcW w:w="1115" w:type="dxa"/>
            <w:tcBorders>
              <w:top w:val="nil"/>
              <w:left w:val="nil"/>
              <w:bottom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1,431,269 </w:t>
            </w:r>
          </w:p>
        </w:tc>
        <w:tc>
          <w:tcPr>
            <w:tcW w:w="957"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1,407,499 </w:t>
            </w:r>
          </w:p>
        </w:tc>
        <w:tc>
          <w:tcPr>
            <w:tcW w:w="1115"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111,477 </w:t>
            </w:r>
          </w:p>
        </w:tc>
        <w:tc>
          <w:tcPr>
            <w:tcW w:w="936" w:type="dxa"/>
            <w:tcBorders>
              <w:top w:val="nil"/>
              <w:left w:val="nil"/>
              <w:bottom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1,518,977 </w:t>
            </w:r>
          </w:p>
        </w:tc>
        <w:tc>
          <w:tcPr>
            <w:tcW w:w="1293" w:type="dxa"/>
            <w:gridSpan w:val="2"/>
            <w:tcBorders>
              <w:top w:val="nil"/>
              <w:left w:val="nil"/>
              <w:bottom w:val="nil"/>
              <w:right w:val="nil"/>
            </w:tcBorders>
            <w:shd w:val="clear" w:color="auto" w:fill="auto"/>
            <w:noWrap/>
            <w:vAlign w:val="bottom"/>
            <w:hideMark/>
          </w:tcPr>
          <w:p w:rsidR="000C2329" w:rsidRPr="000C2329" w:rsidRDefault="000C2329" w:rsidP="000C2329">
            <w:pPr>
              <w:jc w:val="right"/>
              <w:rPr>
                <w:rFonts w:ascii="Arial" w:hAnsi="Arial" w:cs="Arial"/>
                <w:sz w:val="16"/>
                <w:szCs w:val="16"/>
              </w:rPr>
            </w:pPr>
            <w:r w:rsidRPr="000C2329">
              <w:rPr>
                <w:rFonts w:ascii="Arial" w:hAnsi="Arial" w:cs="Arial"/>
                <w:sz w:val="16"/>
                <w:szCs w:val="16"/>
              </w:rPr>
              <w:t>7.3</w:t>
            </w:r>
          </w:p>
        </w:tc>
      </w:tr>
      <w:tr w:rsidR="000C2329" w:rsidRPr="000C2329" w:rsidTr="00696D74">
        <w:trPr>
          <w:trHeight w:val="855"/>
        </w:trPr>
        <w:tc>
          <w:tcPr>
            <w:tcW w:w="1989" w:type="dxa"/>
            <w:gridSpan w:val="2"/>
            <w:tcBorders>
              <w:top w:val="nil"/>
              <w:left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NYC-Manhattan Community District 10--Central Harlem PUMA, New York</w:t>
            </w:r>
          </w:p>
        </w:tc>
        <w:tc>
          <w:tcPr>
            <w:tcW w:w="928" w:type="dxa"/>
            <w:tcBorders>
              <w:top w:val="nil"/>
              <w:left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0.063678</w:t>
            </w:r>
          </w:p>
        </w:tc>
        <w:tc>
          <w:tcPr>
            <w:tcW w:w="1115" w:type="dxa"/>
            <w:gridSpan w:val="2"/>
            <w:tcBorders>
              <w:top w:val="nil"/>
              <w:left w:val="nil"/>
              <w:right w:val="nil"/>
            </w:tcBorders>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0.102013</w:t>
            </w:r>
          </w:p>
        </w:tc>
        <w:tc>
          <w:tcPr>
            <w:tcW w:w="1073" w:type="dxa"/>
            <w:tcBorders>
              <w:top w:val="nil"/>
              <w:left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20,438,233 </w:t>
            </w:r>
          </w:p>
        </w:tc>
        <w:tc>
          <w:tcPr>
            <w:tcW w:w="1115" w:type="dxa"/>
            <w:tcBorders>
              <w:top w:val="nil"/>
              <w:left w:val="nil"/>
              <w:right w:val="nil"/>
            </w:tcBorders>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1,431,269 </w:t>
            </w:r>
          </w:p>
        </w:tc>
        <w:tc>
          <w:tcPr>
            <w:tcW w:w="957" w:type="dxa"/>
            <w:tcBorders>
              <w:top w:val="nil"/>
              <w:left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1,301,466 </w:t>
            </w:r>
          </w:p>
        </w:tc>
        <w:tc>
          <w:tcPr>
            <w:tcW w:w="1115" w:type="dxa"/>
            <w:tcBorders>
              <w:top w:val="nil"/>
              <w:left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146,008 </w:t>
            </w:r>
          </w:p>
        </w:tc>
        <w:tc>
          <w:tcPr>
            <w:tcW w:w="936" w:type="dxa"/>
            <w:tcBorders>
              <w:top w:val="nil"/>
              <w:left w:val="nil"/>
              <w:right w:val="nil"/>
            </w:tcBorders>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1,447,474 </w:t>
            </w:r>
          </w:p>
        </w:tc>
        <w:tc>
          <w:tcPr>
            <w:tcW w:w="1293" w:type="dxa"/>
            <w:gridSpan w:val="2"/>
            <w:tcBorders>
              <w:top w:val="nil"/>
              <w:left w:val="nil"/>
              <w:right w:val="nil"/>
            </w:tcBorders>
            <w:shd w:val="clear" w:color="auto" w:fill="auto"/>
            <w:noWrap/>
            <w:vAlign w:val="bottom"/>
            <w:hideMark/>
          </w:tcPr>
          <w:p w:rsidR="000C2329" w:rsidRPr="000C2329" w:rsidRDefault="000C2329" w:rsidP="000C2329">
            <w:pPr>
              <w:jc w:val="right"/>
              <w:rPr>
                <w:rFonts w:ascii="Arial" w:hAnsi="Arial" w:cs="Arial"/>
                <w:sz w:val="16"/>
                <w:szCs w:val="16"/>
              </w:rPr>
            </w:pPr>
            <w:r w:rsidRPr="000C2329">
              <w:rPr>
                <w:rFonts w:ascii="Arial" w:hAnsi="Arial" w:cs="Arial"/>
                <w:sz w:val="16"/>
                <w:szCs w:val="16"/>
              </w:rPr>
              <w:t>10.1</w:t>
            </w:r>
          </w:p>
        </w:tc>
      </w:tr>
      <w:tr w:rsidR="000C2329" w:rsidRPr="000C2329" w:rsidTr="00696D74">
        <w:trPr>
          <w:trHeight w:val="750"/>
        </w:trPr>
        <w:tc>
          <w:tcPr>
            <w:tcW w:w="1989" w:type="dxa"/>
            <w:gridSpan w:val="2"/>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NYC-Manhattan Community District 11--East Harlem PUMA, New York</w:t>
            </w:r>
          </w:p>
        </w:tc>
        <w:tc>
          <w:tcPr>
            <w:tcW w:w="928" w:type="dxa"/>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0.054518</w:t>
            </w:r>
          </w:p>
        </w:tc>
        <w:tc>
          <w:tcPr>
            <w:tcW w:w="1115" w:type="dxa"/>
            <w:gridSpan w:val="2"/>
            <w:shd w:val="clear" w:color="auto" w:fill="auto"/>
            <w:vAlign w:val="bottom"/>
            <w:hideMark/>
          </w:tcPr>
          <w:p w:rsidR="000C2329" w:rsidRPr="000C2329" w:rsidRDefault="000C2329" w:rsidP="000C2329">
            <w:pPr>
              <w:jc w:val="right"/>
              <w:rPr>
                <w:rFonts w:ascii="Arial" w:hAnsi="Arial" w:cs="Arial"/>
                <w:color w:val="000000"/>
                <w:sz w:val="16"/>
                <w:szCs w:val="16"/>
              </w:rPr>
            </w:pPr>
            <w:r w:rsidRPr="000C2329">
              <w:rPr>
                <w:rFonts w:ascii="Arial" w:hAnsi="Arial" w:cs="Arial"/>
                <w:color w:val="000000"/>
                <w:sz w:val="16"/>
                <w:szCs w:val="16"/>
              </w:rPr>
              <w:t>0.082763</w:t>
            </w:r>
          </w:p>
        </w:tc>
        <w:tc>
          <w:tcPr>
            <w:tcW w:w="1073" w:type="dxa"/>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20,438,233 </w:t>
            </w:r>
          </w:p>
        </w:tc>
        <w:tc>
          <w:tcPr>
            <w:tcW w:w="1115" w:type="dxa"/>
            <w:shd w:val="clear" w:color="auto" w:fill="auto"/>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1,431,269 </w:t>
            </w:r>
          </w:p>
        </w:tc>
        <w:tc>
          <w:tcPr>
            <w:tcW w:w="957" w:type="dxa"/>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1,114,252 </w:t>
            </w:r>
          </w:p>
        </w:tc>
        <w:tc>
          <w:tcPr>
            <w:tcW w:w="1115" w:type="dxa"/>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118,456 </w:t>
            </w:r>
          </w:p>
        </w:tc>
        <w:tc>
          <w:tcPr>
            <w:tcW w:w="936" w:type="dxa"/>
            <w:shd w:val="clear" w:color="auto" w:fill="auto"/>
            <w:noWrap/>
            <w:vAlign w:val="bottom"/>
            <w:hideMark/>
          </w:tcPr>
          <w:p w:rsidR="000C2329" w:rsidRPr="000C2329" w:rsidRDefault="000C2329" w:rsidP="000C2329">
            <w:pPr>
              <w:rPr>
                <w:rFonts w:ascii="Arial" w:hAnsi="Arial" w:cs="Arial"/>
                <w:color w:val="000000"/>
                <w:sz w:val="16"/>
                <w:szCs w:val="16"/>
              </w:rPr>
            </w:pPr>
            <w:r w:rsidRPr="000C2329">
              <w:rPr>
                <w:rFonts w:ascii="Arial" w:hAnsi="Arial" w:cs="Arial"/>
                <w:color w:val="000000"/>
                <w:sz w:val="16"/>
                <w:szCs w:val="16"/>
              </w:rPr>
              <w:t xml:space="preserve">  1,232,708 </w:t>
            </w:r>
          </w:p>
        </w:tc>
        <w:tc>
          <w:tcPr>
            <w:tcW w:w="1293" w:type="dxa"/>
            <w:gridSpan w:val="2"/>
            <w:shd w:val="clear" w:color="auto" w:fill="auto"/>
            <w:noWrap/>
            <w:vAlign w:val="bottom"/>
            <w:hideMark/>
          </w:tcPr>
          <w:p w:rsidR="000C2329" w:rsidRPr="000C2329" w:rsidRDefault="000C2329" w:rsidP="000C2329">
            <w:pPr>
              <w:jc w:val="right"/>
              <w:rPr>
                <w:rFonts w:ascii="Arial" w:hAnsi="Arial" w:cs="Arial"/>
                <w:sz w:val="16"/>
                <w:szCs w:val="16"/>
              </w:rPr>
            </w:pPr>
            <w:r w:rsidRPr="000C2329">
              <w:rPr>
                <w:rFonts w:ascii="Arial" w:hAnsi="Arial" w:cs="Arial"/>
                <w:sz w:val="16"/>
                <w:szCs w:val="16"/>
              </w:rPr>
              <w:t>9.6</w:t>
            </w:r>
          </w:p>
        </w:tc>
      </w:tr>
      <w:tr w:rsidR="000C2329" w:rsidRPr="000C2329" w:rsidTr="00696D74">
        <w:trPr>
          <w:trHeight w:val="315"/>
        </w:trPr>
        <w:tc>
          <w:tcPr>
            <w:tcW w:w="1989" w:type="dxa"/>
            <w:gridSpan w:val="2"/>
            <w:shd w:val="clear" w:color="auto" w:fill="auto"/>
            <w:vAlign w:val="bottom"/>
            <w:hideMark/>
          </w:tcPr>
          <w:p w:rsidR="000C2329" w:rsidRPr="000C2329" w:rsidRDefault="000C2329" w:rsidP="000C2329">
            <w:pPr>
              <w:rPr>
                <w:rFonts w:ascii="Arial" w:hAnsi="Arial" w:cs="Arial"/>
                <w:b/>
                <w:bCs/>
                <w:color w:val="000000"/>
                <w:sz w:val="16"/>
                <w:szCs w:val="16"/>
              </w:rPr>
            </w:pPr>
            <w:r w:rsidRPr="000C2329">
              <w:rPr>
                <w:rFonts w:ascii="Arial" w:hAnsi="Arial" w:cs="Arial"/>
                <w:b/>
                <w:bCs/>
                <w:color w:val="000000"/>
                <w:sz w:val="16"/>
                <w:szCs w:val="16"/>
              </w:rPr>
              <w:t>Total, Upper Manhattan</w:t>
            </w:r>
          </w:p>
        </w:tc>
        <w:tc>
          <w:tcPr>
            <w:tcW w:w="928" w:type="dxa"/>
            <w:shd w:val="clear" w:color="auto" w:fill="auto"/>
            <w:vAlign w:val="bottom"/>
            <w:hideMark/>
          </w:tcPr>
          <w:p w:rsidR="000C2329" w:rsidRPr="000C2329" w:rsidRDefault="000C2329" w:rsidP="000C2329">
            <w:pPr>
              <w:rPr>
                <w:rFonts w:ascii="Arial" w:hAnsi="Arial" w:cs="Arial"/>
                <w:b/>
                <w:bCs/>
                <w:color w:val="000000"/>
                <w:sz w:val="16"/>
                <w:szCs w:val="16"/>
              </w:rPr>
            </w:pPr>
          </w:p>
        </w:tc>
        <w:tc>
          <w:tcPr>
            <w:tcW w:w="1115" w:type="dxa"/>
            <w:gridSpan w:val="2"/>
            <w:shd w:val="clear" w:color="auto" w:fill="auto"/>
            <w:vAlign w:val="bottom"/>
            <w:hideMark/>
          </w:tcPr>
          <w:p w:rsidR="000C2329" w:rsidRPr="000C2329" w:rsidRDefault="000C2329" w:rsidP="000C2329"/>
        </w:tc>
        <w:tc>
          <w:tcPr>
            <w:tcW w:w="1073" w:type="dxa"/>
            <w:shd w:val="clear" w:color="auto" w:fill="auto"/>
            <w:vAlign w:val="bottom"/>
            <w:hideMark/>
          </w:tcPr>
          <w:p w:rsidR="000C2329" w:rsidRPr="000C2329" w:rsidRDefault="000C2329" w:rsidP="000C2329"/>
        </w:tc>
        <w:tc>
          <w:tcPr>
            <w:tcW w:w="1115" w:type="dxa"/>
            <w:shd w:val="clear" w:color="auto" w:fill="auto"/>
            <w:vAlign w:val="bottom"/>
            <w:hideMark/>
          </w:tcPr>
          <w:p w:rsidR="000C2329" w:rsidRPr="000C2329" w:rsidRDefault="000C2329" w:rsidP="000C2329"/>
        </w:tc>
        <w:tc>
          <w:tcPr>
            <w:tcW w:w="957" w:type="dxa"/>
            <w:shd w:val="clear" w:color="auto" w:fill="auto"/>
            <w:vAlign w:val="bottom"/>
            <w:hideMark/>
          </w:tcPr>
          <w:p w:rsidR="000C2329" w:rsidRPr="000C2329" w:rsidRDefault="000C2329" w:rsidP="000C2329">
            <w:pPr>
              <w:rPr>
                <w:rFonts w:ascii="Arial" w:hAnsi="Arial" w:cs="Arial"/>
                <w:b/>
                <w:bCs/>
                <w:color w:val="000000"/>
                <w:sz w:val="16"/>
                <w:szCs w:val="16"/>
              </w:rPr>
            </w:pPr>
            <w:r w:rsidRPr="000C2329">
              <w:rPr>
                <w:rFonts w:ascii="Arial" w:hAnsi="Arial" w:cs="Arial"/>
                <w:b/>
                <w:bCs/>
                <w:color w:val="000000"/>
                <w:sz w:val="16"/>
                <w:szCs w:val="16"/>
              </w:rPr>
              <w:t xml:space="preserve">  6,167,605 </w:t>
            </w:r>
          </w:p>
        </w:tc>
        <w:tc>
          <w:tcPr>
            <w:tcW w:w="1115" w:type="dxa"/>
            <w:shd w:val="clear" w:color="auto" w:fill="auto"/>
            <w:vAlign w:val="bottom"/>
            <w:hideMark/>
          </w:tcPr>
          <w:p w:rsidR="000C2329" w:rsidRPr="000C2329" w:rsidRDefault="000C2329" w:rsidP="000C2329">
            <w:pPr>
              <w:rPr>
                <w:rFonts w:ascii="Arial" w:hAnsi="Arial" w:cs="Arial"/>
                <w:b/>
                <w:bCs/>
                <w:color w:val="000000"/>
                <w:sz w:val="16"/>
                <w:szCs w:val="16"/>
              </w:rPr>
            </w:pPr>
            <w:r w:rsidRPr="000C2329">
              <w:rPr>
                <w:rFonts w:ascii="Arial" w:hAnsi="Arial" w:cs="Arial"/>
                <w:b/>
                <w:bCs/>
                <w:color w:val="000000"/>
                <w:sz w:val="16"/>
                <w:szCs w:val="16"/>
              </w:rPr>
              <w:t xml:space="preserve">  685,939 </w:t>
            </w:r>
          </w:p>
        </w:tc>
        <w:tc>
          <w:tcPr>
            <w:tcW w:w="936" w:type="dxa"/>
            <w:shd w:val="clear" w:color="auto" w:fill="auto"/>
            <w:vAlign w:val="bottom"/>
            <w:hideMark/>
          </w:tcPr>
          <w:p w:rsidR="000C2329" w:rsidRPr="000C2329" w:rsidRDefault="000C2329" w:rsidP="000C2329">
            <w:pPr>
              <w:rPr>
                <w:rFonts w:ascii="Arial" w:hAnsi="Arial" w:cs="Arial"/>
                <w:b/>
                <w:bCs/>
                <w:color w:val="000000"/>
                <w:sz w:val="16"/>
                <w:szCs w:val="16"/>
              </w:rPr>
            </w:pPr>
            <w:r w:rsidRPr="000C2329">
              <w:rPr>
                <w:rFonts w:ascii="Arial" w:hAnsi="Arial" w:cs="Arial"/>
                <w:b/>
                <w:bCs/>
                <w:color w:val="000000"/>
                <w:sz w:val="16"/>
                <w:szCs w:val="16"/>
              </w:rPr>
              <w:t xml:space="preserve">  6,853,543 </w:t>
            </w:r>
          </w:p>
        </w:tc>
        <w:tc>
          <w:tcPr>
            <w:tcW w:w="1293" w:type="dxa"/>
            <w:gridSpan w:val="2"/>
            <w:shd w:val="clear" w:color="auto" w:fill="auto"/>
            <w:noWrap/>
            <w:vAlign w:val="bottom"/>
            <w:hideMark/>
          </w:tcPr>
          <w:p w:rsidR="000C2329" w:rsidRPr="000C2329" w:rsidRDefault="000C2329" w:rsidP="000C2329">
            <w:pPr>
              <w:jc w:val="right"/>
              <w:rPr>
                <w:rFonts w:ascii="Arial" w:hAnsi="Arial" w:cs="Arial"/>
                <w:b/>
                <w:bCs/>
                <w:sz w:val="16"/>
                <w:szCs w:val="16"/>
              </w:rPr>
            </w:pPr>
            <w:r w:rsidRPr="000C2329">
              <w:rPr>
                <w:rFonts w:ascii="Arial" w:hAnsi="Arial" w:cs="Arial"/>
                <w:b/>
                <w:bCs/>
                <w:sz w:val="16"/>
                <w:szCs w:val="16"/>
              </w:rPr>
              <w:t>10</w:t>
            </w:r>
          </w:p>
        </w:tc>
      </w:tr>
      <w:tr w:rsidR="007C0E21" w:rsidRPr="000C2329" w:rsidTr="00696D74">
        <w:trPr>
          <w:trHeight w:val="99"/>
        </w:trPr>
        <w:tc>
          <w:tcPr>
            <w:tcW w:w="1989" w:type="dxa"/>
            <w:gridSpan w:val="2"/>
            <w:shd w:val="clear" w:color="auto" w:fill="auto"/>
            <w:vAlign w:val="bottom"/>
          </w:tcPr>
          <w:p w:rsidR="007C0E21" w:rsidRPr="000C2329" w:rsidRDefault="007C0E21" w:rsidP="000C2329">
            <w:pPr>
              <w:rPr>
                <w:rFonts w:ascii="Arial" w:hAnsi="Arial" w:cs="Arial"/>
                <w:b/>
                <w:bCs/>
                <w:color w:val="000000"/>
                <w:sz w:val="16"/>
                <w:szCs w:val="16"/>
              </w:rPr>
            </w:pPr>
          </w:p>
        </w:tc>
        <w:tc>
          <w:tcPr>
            <w:tcW w:w="928" w:type="dxa"/>
            <w:shd w:val="clear" w:color="auto" w:fill="auto"/>
            <w:vAlign w:val="bottom"/>
          </w:tcPr>
          <w:p w:rsidR="007C0E21" w:rsidRPr="000C2329" w:rsidRDefault="007C0E21" w:rsidP="000C2329">
            <w:pPr>
              <w:rPr>
                <w:rFonts w:ascii="Arial" w:hAnsi="Arial" w:cs="Arial"/>
                <w:b/>
                <w:bCs/>
                <w:color w:val="000000"/>
                <w:sz w:val="16"/>
                <w:szCs w:val="16"/>
              </w:rPr>
            </w:pPr>
          </w:p>
        </w:tc>
        <w:tc>
          <w:tcPr>
            <w:tcW w:w="1115" w:type="dxa"/>
            <w:gridSpan w:val="2"/>
            <w:shd w:val="clear" w:color="auto" w:fill="auto"/>
            <w:vAlign w:val="bottom"/>
          </w:tcPr>
          <w:p w:rsidR="007C0E21" w:rsidRPr="000C2329" w:rsidRDefault="007C0E21" w:rsidP="000C2329"/>
        </w:tc>
        <w:tc>
          <w:tcPr>
            <w:tcW w:w="1073" w:type="dxa"/>
            <w:shd w:val="clear" w:color="auto" w:fill="auto"/>
            <w:vAlign w:val="bottom"/>
          </w:tcPr>
          <w:p w:rsidR="007C0E21" w:rsidRPr="000C2329" w:rsidRDefault="007C0E21" w:rsidP="000C2329"/>
        </w:tc>
        <w:tc>
          <w:tcPr>
            <w:tcW w:w="1115" w:type="dxa"/>
            <w:shd w:val="clear" w:color="auto" w:fill="auto"/>
            <w:vAlign w:val="bottom"/>
          </w:tcPr>
          <w:p w:rsidR="007C0E21" w:rsidRPr="000C2329" w:rsidRDefault="007C0E21" w:rsidP="000C2329"/>
        </w:tc>
        <w:tc>
          <w:tcPr>
            <w:tcW w:w="957" w:type="dxa"/>
            <w:shd w:val="clear" w:color="auto" w:fill="auto"/>
            <w:vAlign w:val="bottom"/>
          </w:tcPr>
          <w:p w:rsidR="007C0E21" w:rsidRPr="000C2329" w:rsidRDefault="007C0E21" w:rsidP="000C2329">
            <w:pPr>
              <w:rPr>
                <w:rFonts w:ascii="Arial" w:hAnsi="Arial" w:cs="Arial"/>
                <w:b/>
                <w:bCs/>
                <w:color w:val="000000"/>
                <w:sz w:val="16"/>
                <w:szCs w:val="16"/>
              </w:rPr>
            </w:pPr>
          </w:p>
        </w:tc>
        <w:tc>
          <w:tcPr>
            <w:tcW w:w="1115" w:type="dxa"/>
            <w:shd w:val="clear" w:color="auto" w:fill="auto"/>
            <w:vAlign w:val="bottom"/>
          </w:tcPr>
          <w:p w:rsidR="007C0E21" w:rsidRPr="000C2329" w:rsidRDefault="007C0E21" w:rsidP="000C2329">
            <w:pPr>
              <w:rPr>
                <w:rFonts w:ascii="Arial" w:hAnsi="Arial" w:cs="Arial"/>
                <w:b/>
                <w:bCs/>
                <w:color w:val="000000"/>
                <w:sz w:val="16"/>
                <w:szCs w:val="16"/>
              </w:rPr>
            </w:pPr>
          </w:p>
        </w:tc>
        <w:tc>
          <w:tcPr>
            <w:tcW w:w="936" w:type="dxa"/>
            <w:shd w:val="clear" w:color="auto" w:fill="auto"/>
            <w:vAlign w:val="bottom"/>
          </w:tcPr>
          <w:p w:rsidR="007C0E21" w:rsidRPr="000C2329" w:rsidRDefault="007C0E21" w:rsidP="000C2329">
            <w:pPr>
              <w:rPr>
                <w:rFonts w:ascii="Arial" w:hAnsi="Arial" w:cs="Arial"/>
                <w:b/>
                <w:bCs/>
                <w:color w:val="000000"/>
                <w:sz w:val="16"/>
                <w:szCs w:val="16"/>
              </w:rPr>
            </w:pPr>
          </w:p>
        </w:tc>
        <w:tc>
          <w:tcPr>
            <w:tcW w:w="1293" w:type="dxa"/>
            <w:gridSpan w:val="2"/>
            <w:shd w:val="clear" w:color="auto" w:fill="auto"/>
            <w:noWrap/>
            <w:vAlign w:val="bottom"/>
          </w:tcPr>
          <w:p w:rsidR="007C0E21" w:rsidRPr="000C2329" w:rsidRDefault="007C0E21" w:rsidP="000C2329">
            <w:pPr>
              <w:jc w:val="right"/>
              <w:rPr>
                <w:rFonts w:ascii="Arial" w:hAnsi="Arial" w:cs="Arial"/>
                <w:b/>
                <w:bCs/>
                <w:sz w:val="16"/>
                <w:szCs w:val="16"/>
              </w:rPr>
            </w:pPr>
          </w:p>
        </w:tc>
      </w:tr>
      <w:tr w:rsidR="00696D74" w:rsidRPr="000C2329" w:rsidTr="00696D74">
        <w:trPr>
          <w:trHeight w:val="225"/>
        </w:trPr>
        <w:tc>
          <w:tcPr>
            <w:tcW w:w="6220" w:type="dxa"/>
            <w:gridSpan w:val="7"/>
            <w:shd w:val="clear" w:color="auto" w:fill="auto"/>
            <w:vAlign w:val="bottom"/>
          </w:tcPr>
          <w:p w:rsidR="00696D74" w:rsidRPr="000C2329" w:rsidRDefault="00696D74" w:rsidP="000C2329">
            <w:r>
              <w:rPr>
                <w:rFonts w:ascii="Arial" w:hAnsi="Arial" w:cs="Arial"/>
                <w:b/>
                <w:bCs/>
                <w:sz w:val="16"/>
                <w:szCs w:val="16"/>
              </w:rPr>
              <w:t>20% Above National Average</w:t>
            </w:r>
          </w:p>
        </w:tc>
        <w:tc>
          <w:tcPr>
            <w:tcW w:w="957" w:type="dxa"/>
            <w:shd w:val="clear" w:color="auto" w:fill="auto"/>
            <w:vAlign w:val="bottom"/>
          </w:tcPr>
          <w:p w:rsidR="00696D74" w:rsidRPr="000C2329" w:rsidRDefault="00696D74" w:rsidP="000C2329">
            <w:pPr>
              <w:rPr>
                <w:rFonts w:ascii="Arial" w:hAnsi="Arial" w:cs="Arial"/>
                <w:b/>
                <w:bCs/>
                <w:color w:val="000000"/>
                <w:sz w:val="16"/>
                <w:szCs w:val="16"/>
              </w:rPr>
            </w:pPr>
          </w:p>
        </w:tc>
        <w:tc>
          <w:tcPr>
            <w:tcW w:w="1115" w:type="dxa"/>
            <w:shd w:val="clear" w:color="auto" w:fill="auto"/>
            <w:vAlign w:val="bottom"/>
          </w:tcPr>
          <w:p w:rsidR="00696D74" w:rsidRPr="000C2329" w:rsidRDefault="00696D74" w:rsidP="000C2329">
            <w:pPr>
              <w:rPr>
                <w:rFonts w:ascii="Arial" w:hAnsi="Arial" w:cs="Arial"/>
                <w:b/>
                <w:bCs/>
                <w:color w:val="000000"/>
                <w:sz w:val="16"/>
                <w:szCs w:val="16"/>
              </w:rPr>
            </w:pPr>
          </w:p>
        </w:tc>
        <w:tc>
          <w:tcPr>
            <w:tcW w:w="936" w:type="dxa"/>
            <w:shd w:val="clear" w:color="auto" w:fill="auto"/>
            <w:vAlign w:val="bottom"/>
          </w:tcPr>
          <w:p w:rsidR="00696D74" w:rsidRPr="000C2329" w:rsidRDefault="00696D74" w:rsidP="000C2329">
            <w:pPr>
              <w:rPr>
                <w:rFonts w:ascii="Arial" w:hAnsi="Arial" w:cs="Arial"/>
                <w:b/>
                <w:bCs/>
                <w:color w:val="000000"/>
                <w:sz w:val="16"/>
                <w:szCs w:val="16"/>
              </w:rPr>
            </w:pPr>
          </w:p>
        </w:tc>
        <w:tc>
          <w:tcPr>
            <w:tcW w:w="1293" w:type="dxa"/>
            <w:gridSpan w:val="2"/>
            <w:shd w:val="clear" w:color="auto" w:fill="auto"/>
            <w:noWrap/>
            <w:vAlign w:val="bottom"/>
          </w:tcPr>
          <w:p w:rsidR="00696D74" w:rsidRPr="000C2329" w:rsidRDefault="00696D74" w:rsidP="000C2329">
            <w:pPr>
              <w:jc w:val="right"/>
              <w:rPr>
                <w:rFonts w:ascii="Arial" w:hAnsi="Arial" w:cs="Arial"/>
                <w:b/>
                <w:bCs/>
                <w:sz w:val="16"/>
                <w:szCs w:val="16"/>
              </w:rPr>
            </w:pPr>
            <w:r>
              <w:rPr>
                <w:rFonts w:ascii="Arial" w:hAnsi="Arial" w:cs="Arial"/>
                <w:b/>
                <w:bCs/>
                <w:color w:val="000000"/>
                <w:sz w:val="16"/>
                <w:szCs w:val="16"/>
              </w:rPr>
              <w:t>7.9</w:t>
            </w:r>
          </w:p>
        </w:tc>
      </w:tr>
      <w:tr w:rsidR="00696D74" w:rsidTr="00696D74">
        <w:trPr>
          <w:gridBefore w:val="1"/>
          <w:gridAfter w:val="1"/>
          <w:wBefore w:w="1038" w:type="dxa"/>
          <w:wAfter w:w="735" w:type="dxa"/>
          <w:trHeight w:val="300"/>
        </w:trPr>
        <w:tc>
          <w:tcPr>
            <w:tcW w:w="2430" w:type="dxa"/>
            <w:gridSpan w:val="3"/>
            <w:tcBorders>
              <w:top w:val="nil"/>
              <w:left w:val="nil"/>
              <w:bottom w:val="nil"/>
              <w:right w:val="nil"/>
            </w:tcBorders>
            <w:shd w:val="clear" w:color="auto" w:fill="auto"/>
            <w:noWrap/>
            <w:vAlign w:val="bottom"/>
          </w:tcPr>
          <w:p w:rsidR="00696D74" w:rsidRDefault="00696D74" w:rsidP="00D12146">
            <w:pPr>
              <w:rPr>
                <w:rFonts w:ascii="Arial" w:hAnsi="Arial" w:cs="Arial"/>
                <w:b/>
                <w:bCs/>
                <w:sz w:val="16"/>
                <w:szCs w:val="16"/>
              </w:rPr>
            </w:pPr>
          </w:p>
        </w:tc>
        <w:tc>
          <w:tcPr>
            <w:tcW w:w="6318" w:type="dxa"/>
            <w:gridSpan w:val="7"/>
            <w:tcBorders>
              <w:top w:val="nil"/>
              <w:left w:val="nil"/>
              <w:bottom w:val="nil"/>
              <w:right w:val="nil"/>
            </w:tcBorders>
            <w:vAlign w:val="bottom"/>
          </w:tcPr>
          <w:p w:rsidR="00696D74" w:rsidRDefault="00696D74" w:rsidP="00D12146">
            <w:pPr>
              <w:jc w:val="center"/>
              <w:rPr>
                <w:rFonts w:ascii="Arial" w:hAnsi="Arial" w:cs="Arial"/>
                <w:b/>
                <w:bCs/>
                <w:color w:val="000000"/>
                <w:sz w:val="16"/>
                <w:szCs w:val="16"/>
              </w:rPr>
            </w:pPr>
          </w:p>
        </w:tc>
      </w:tr>
    </w:tbl>
    <w:p w:rsidR="00522BDD" w:rsidRDefault="00522BDD" w:rsidP="00E96206">
      <w:pPr>
        <w:ind w:left="420"/>
        <w:rPr>
          <w:sz w:val="24"/>
          <w:szCs w:val="24"/>
        </w:rPr>
      </w:pPr>
    </w:p>
    <w:p w:rsidR="00522BDD" w:rsidRDefault="00882E3D" w:rsidP="00522BDD">
      <w:pPr>
        <w:pStyle w:val="ListParagraph"/>
        <w:numPr>
          <w:ilvl w:val="0"/>
          <w:numId w:val="18"/>
        </w:numPr>
        <w:rPr>
          <w:sz w:val="24"/>
          <w:szCs w:val="24"/>
        </w:rPr>
      </w:pPr>
      <w:r w:rsidRPr="00522BDD">
        <w:rPr>
          <w:sz w:val="24"/>
          <w:szCs w:val="24"/>
        </w:rPr>
        <w:t>New York seeks to waive ABAWD requirements for homeless individuals who have no residence and reside on the streets of an area.  These individuals do not identify as residing in any particular area of the State and therefore it is not feasible to determine whether or not they reside in an area of the State where a waiver of the ABAWD requirements is in place.  While many of these individuals may be exempt from the work requirement due to being physically or mentally unfit, it is often a challenge to document these limitations due to the  enormous difficulty of getting these adults to attend a medical appointment.</w:t>
      </w:r>
    </w:p>
    <w:p w:rsidR="00522BDD" w:rsidRDefault="00882E3D" w:rsidP="00522BDD">
      <w:pPr>
        <w:pStyle w:val="ListParagraph"/>
        <w:numPr>
          <w:ilvl w:val="0"/>
          <w:numId w:val="18"/>
        </w:numPr>
        <w:rPr>
          <w:sz w:val="24"/>
          <w:szCs w:val="24"/>
        </w:rPr>
      </w:pPr>
      <w:r w:rsidRPr="00522BDD">
        <w:rPr>
          <w:sz w:val="24"/>
          <w:szCs w:val="24"/>
        </w:rPr>
        <w:t xml:space="preserve">New York seeks to waive ABAWD requirements for individuals who are homeless.  Each social services district determines where a homeless individual will be placed based on the availability of a shelter or other temporary housing.  At times, homeless individuals are required to be placed out of county.  The SNAP regulations include in the definition of “homeless individual,” an individual whose primary residence is a supervised shelter designed to provide temporary accommodations.  </w:t>
      </w:r>
      <w:r w:rsidRPr="00522BDD">
        <w:rPr>
          <w:sz w:val="24"/>
          <w:szCs w:val="24"/>
          <w:u w:val="single"/>
        </w:rPr>
        <w:t>See</w:t>
      </w:r>
      <w:r w:rsidRPr="00522BDD">
        <w:rPr>
          <w:sz w:val="24"/>
          <w:szCs w:val="24"/>
        </w:rPr>
        <w:t xml:space="preserve"> 7 CFR 271.2.  The SNAP regulations recognize that this population is difficult to track and state that residency requirements do not need to be verified for homeless households.  7 CFR 273.2(f)(1)(vi).  Additionally, the frequent movement of these individuals make it difficult to ensure the provision of work requirement notices. </w:t>
      </w:r>
      <w:r w:rsidR="00C07BEE">
        <w:rPr>
          <w:sz w:val="24"/>
          <w:szCs w:val="24"/>
        </w:rPr>
        <w:t xml:space="preserve"> </w:t>
      </w:r>
      <w:r w:rsidRPr="00522BDD">
        <w:rPr>
          <w:sz w:val="24"/>
          <w:szCs w:val="24"/>
        </w:rPr>
        <w:t xml:space="preserve">Homeless individuals do not necessarily control where they reside, these individuals move frequently and these individuals are difficult to track and it is for these reasons that New York seeks a waiver of ABAWD work requirements for homeless individuals.  </w:t>
      </w:r>
    </w:p>
    <w:p w:rsidR="00522BDD" w:rsidRPr="00522BDD" w:rsidRDefault="00522BDD" w:rsidP="00522BDD">
      <w:pPr>
        <w:pStyle w:val="ListParagraph"/>
        <w:rPr>
          <w:sz w:val="24"/>
          <w:szCs w:val="24"/>
        </w:rPr>
      </w:pPr>
    </w:p>
    <w:p w:rsidR="00522BDD" w:rsidRDefault="00882E3D" w:rsidP="00522BDD">
      <w:pPr>
        <w:pStyle w:val="ListParagraph"/>
        <w:numPr>
          <w:ilvl w:val="0"/>
          <w:numId w:val="18"/>
        </w:numPr>
        <w:rPr>
          <w:sz w:val="24"/>
          <w:szCs w:val="24"/>
        </w:rPr>
      </w:pPr>
      <w:r w:rsidRPr="00522BDD">
        <w:rPr>
          <w:sz w:val="24"/>
          <w:szCs w:val="24"/>
        </w:rPr>
        <w:t xml:space="preserve">New York State seeks a waiver of homeless individuals residing in areas of the State that have jurisdictional waivers that do not cover all individuals in the social services district/county or City of New York. </w:t>
      </w:r>
      <w:r w:rsidR="00A83654">
        <w:rPr>
          <w:sz w:val="24"/>
          <w:szCs w:val="24"/>
        </w:rPr>
        <w:t xml:space="preserve"> </w:t>
      </w:r>
      <w:r w:rsidRPr="00522BDD">
        <w:rPr>
          <w:sz w:val="24"/>
          <w:szCs w:val="24"/>
        </w:rPr>
        <w:t xml:space="preserve">It is the social services district that typically determines where the homeless individual will reside based on the availability of shelter/temporary housing.  The SNAP regulations include in the definition of “homeless individual,” an individual whose primary residence is a supervised shelter designed to provide temporary accommodations.  </w:t>
      </w:r>
      <w:r w:rsidRPr="00522BDD">
        <w:rPr>
          <w:sz w:val="24"/>
          <w:szCs w:val="24"/>
          <w:u w:val="single"/>
        </w:rPr>
        <w:t>See</w:t>
      </w:r>
      <w:r w:rsidRPr="00522BDD">
        <w:rPr>
          <w:sz w:val="24"/>
          <w:szCs w:val="24"/>
        </w:rPr>
        <w:t xml:space="preserve"> 7 CFR 271.2.  The SNAP regulations recognize that this population is difficult to track and state that residency requirements do not need to be verified for homeless households.  7 CFR 273.2(f)(1)(vi).  For example, one of the largest single adult shelters in the City of New York is the Bellevue Men’s Shelter in Manhattan which provides intake for single homeless men.  However, the temporary placement in this facility does not reflect the origin or permanent address of these clients.  Additionally, placement in a shelter is by nature unstable housing and people frequently cycle in and out of temporary shelter both within and across boroughs which makes them difficult to track.  It is operationally complicated and confusing for the client if every time an individual moved in and out of Manhattan they would need to be given notice of ABAWD requirements so there could be multiple notices in a year as people cycle in and out of shelter.  The lack of a permanent residence imposes additional difficulties as adequate notice of work requirements needs to be provided.  For these reasons, New York requests a waiver of ABAWD requirements for the sheltered homeless. </w:t>
      </w:r>
    </w:p>
    <w:p w:rsidR="00522BDD" w:rsidRPr="00656A81" w:rsidRDefault="00522BDD" w:rsidP="00522BDD">
      <w:pPr>
        <w:pStyle w:val="ListParagraph"/>
        <w:ind w:left="780"/>
        <w:rPr>
          <w:sz w:val="24"/>
          <w:szCs w:val="24"/>
        </w:rPr>
      </w:pPr>
    </w:p>
    <w:p w:rsidR="00882E3D" w:rsidRPr="00656A81" w:rsidRDefault="0057350F" w:rsidP="00522BDD">
      <w:pPr>
        <w:pStyle w:val="ListParagraph"/>
        <w:numPr>
          <w:ilvl w:val="0"/>
          <w:numId w:val="18"/>
        </w:numPr>
        <w:rPr>
          <w:sz w:val="24"/>
          <w:szCs w:val="24"/>
        </w:rPr>
      </w:pPr>
      <w:r w:rsidRPr="00656A81">
        <w:rPr>
          <w:sz w:val="24"/>
          <w:szCs w:val="24"/>
        </w:rPr>
        <w:t>In addition to the other boroughs of New York City, New York requests a waiver of ABAWD work requirements for the balance of Manhattan (below 96</w:t>
      </w:r>
      <w:r w:rsidRPr="00656A81">
        <w:rPr>
          <w:sz w:val="24"/>
          <w:szCs w:val="24"/>
          <w:vertAlign w:val="superscript"/>
        </w:rPr>
        <w:t>th</w:t>
      </w:r>
      <w:r w:rsidRPr="00656A81">
        <w:rPr>
          <w:sz w:val="24"/>
          <w:szCs w:val="24"/>
        </w:rPr>
        <w:t xml:space="preserve"> street) on the basis that this geographic area does not have a sufficient number </w:t>
      </w:r>
      <w:r w:rsidR="00D54FE6">
        <w:rPr>
          <w:sz w:val="24"/>
          <w:szCs w:val="24"/>
        </w:rPr>
        <w:t xml:space="preserve">of </w:t>
      </w:r>
      <w:r w:rsidRPr="00656A81">
        <w:rPr>
          <w:sz w:val="24"/>
          <w:szCs w:val="24"/>
        </w:rPr>
        <w:t xml:space="preserve">low-skill jobs to provide employment for these individuals.  For the minimal low-skill job placements that do exist in this geographic area, the City must prioritize placement of its public assistance population in order to meet federal work requirements.  Since these recipients of public assistance also receive SNAP benefits, these work placements will benefit needy SNAP recipients who will receive access to limited employment opportunities.  Moreover, census tract data demonstrates that most areas of Manhattan have a high rate of unemployment.  </w:t>
      </w:r>
      <w:r w:rsidR="00882E3D" w:rsidRPr="00656A81">
        <w:rPr>
          <w:sz w:val="24"/>
          <w:szCs w:val="24"/>
        </w:rPr>
        <w:t>  </w:t>
      </w:r>
    </w:p>
    <w:p w:rsidR="00522BDD" w:rsidRPr="00656A81" w:rsidRDefault="00522BDD" w:rsidP="00522BDD">
      <w:pPr>
        <w:pStyle w:val="ListParagraph"/>
        <w:rPr>
          <w:sz w:val="24"/>
          <w:szCs w:val="24"/>
        </w:rPr>
      </w:pPr>
    </w:p>
    <w:p w:rsidR="00522BDD" w:rsidRPr="00A83654" w:rsidRDefault="00522BDD" w:rsidP="00522BDD">
      <w:pPr>
        <w:pStyle w:val="NormalWeb"/>
        <w:numPr>
          <w:ilvl w:val="0"/>
          <w:numId w:val="18"/>
        </w:numPr>
        <w:shd w:val="clear" w:color="auto" w:fill="FFFFFF"/>
      </w:pPr>
      <w:r w:rsidRPr="00656A81">
        <w:t xml:space="preserve">New York requests a waiver of ABAWD requirements for individuals residing in public housing. </w:t>
      </w:r>
      <w:r w:rsidR="00A83654">
        <w:t xml:space="preserve"> </w:t>
      </w:r>
      <w:r w:rsidRPr="00656A81">
        <w:t xml:space="preserve">These individuals are already subject to community service/economic self-sufficiency requirements if able to work and applying ABAWD requirements to this population would be duplicative and possibly confusing to residents.    </w:t>
      </w:r>
    </w:p>
    <w:p w:rsidR="00882E3D" w:rsidRDefault="00DF632A" w:rsidP="00656A81">
      <w:pPr>
        <w:pStyle w:val="ListParagraph"/>
        <w:ind w:left="780"/>
        <w:rPr>
          <w:sz w:val="24"/>
          <w:szCs w:val="24"/>
        </w:rPr>
      </w:pPr>
      <w:r w:rsidRPr="00DF632A">
        <w:rPr>
          <w:sz w:val="23"/>
          <w:szCs w:val="23"/>
        </w:rPr>
        <w:t>  </w:t>
      </w:r>
    </w:p>
    <w:p w:rsidR="00E96206" w:rsidRPr="00CB43CB" w:rsidRDefault="007772E2" w:rsidP="00CB43CB">
      <w:pPr>
        <w:numPr>
          <w:ilvl w:val="0"/>
          <w:numId w:val="1"/>
        </w:numPr>
        <w:rPr>
          <w:sz w:val="24"/>
          <w:szCs w:val="24"/>
        </w:rPr>
      </w:pPr>
      <w:r w:rsidRPr="00E96206">
        <w:rPr>
          <w:b/>
          <w:sz w:val="24"/>
          <w:szCs w:val="24"/>
        </w:rPr>
        <w:t xml:space="preserve">Anticipated </w:t>
      </w:r>
      <w:r w:rsidR="005D0579">
        <w:rPr>
          <w:b/>
          <w:sz w:val="24"/>
          <w:szCs w:val="24"/>
        </w:rPr>
        <w:t>i</w:t>
      </w:r>
      <w:r w:rsidRPr="00E96206">
        <w:rPr>
          <w:b/>
          <w:sz w:val="24"/>
          <w:szCs w:val="24"/>
        </w:rPr>
        <w:t xml:space="preserve">mpact on </w:t>
      </w:r>
      <w:r w:rsidR="005D0579">
        <w:rPr>
          <w:b/>
          <w:sz w:val="24"/>
          <w:szCs w:val="24"/>
        </w:rPr>
        <w:t>h</w:t>
      </w:r>
      <w:r w:rsidRPr="00E96206">
        <w:rPr>
          <w:b/>
          <w:sz w:val="24"/>
          <w:szCs w:val="24"/>
        </w:rPr>
        <w:t xml:space="preserve">ouseholds and State </w:t>
      </w:r>
      <w:r w:rsidR="008527F0">
        <w:rPr>
          <w:b/>
          <w:sz w:val="24"/>
          <w:szCs w:val="24"/>
        </w:rPr>
        <w:t>a</w:t>
      </w:r>
      <w:r w:rsidRPr="00E96206">
        <w:rPr>
          <w:b/>
          <w:sz w:val="24"/>
          <w:szCs w:val="24"/>
        </w:rPr>
        <w:t xml:space="preserve">gency </w:t>
      </w:r>
      <w:r w:rsidR="005D0579">
        <w:rPr>
          <w:b/>
          <w:sz w:val="24"/>
          <w:szCs w:val="24"/>
        </w:rPr>
        <w:t>o</w:t>
      </w:r>
      <w:r w:rsidRPr="00E96206">
        <w:rPr>
          <w:b/>
          <w:sz w:val="24"/>
          <w:szCs w:val="24"/>
        </w:rPr>
        <w:t xml:space="preserve">perations: </w:t>
      </w:r>
      <w:r w:rsidR="00600C5C">
        <w:rPr>
          <w:b/>
          <w:sz w:val="24"/>
          <w:szCs w:val="24"/>
        </w:rPr>
        <w:t xml:space="preserve"> </w:t>
      </w:r>
      <w:r w:rsidR="00CB43CB" w:rsidRPr="00C31D63">
        <w:rPr>
          <w:sz w:val="24"/>
          <w:szCs w:val="24"/>
        </w:rPr>
        <w:t>This waiver will provide consistency for households and State agency operations in areas where unemployment remains higher than the national average.</w:t>
      </w:r>
    </w:p>
    <w:p w:rsidR="00E501DD" w:rsidRDefault="00E501DD">
      <w:pPr>
        <w:ind w:left="420"/>
        <w:rPr>
          <w:b/>
          <w:sz w:val="24"/>
          <w:szCs w:val="24"/>
        </w:rPr>
      </w:pPr>
    </w:p>
    <w:p w:rsidR="00E96206" w:rsidRPr="00CB43CB" w:rsidRDefault="00D408A5" w:rsidP="00CB43CB">
      <w:pPr>
        <w:numPr>
          <w:ilvl w:val="0"/>
          <w:numId w:val="1"/>
        </w:numPr>
        <w:rPr>
          <w:sz w:val="24"/>
          <w:szCs w:val="24"/>
        </w:rPr>
      </w:pPr>
      <w:r w:rsidRPr="00E96206">
        <w:rPr>
          <w:b/>
          <w:sz w:val="24"/>
          <w:szCs w:val="24"/>
        </w:rPr>
        <w:t xml:space="preserve">Caseload </w:t>
      </w:r>
      <w:r w:rsidR="005D0579">
        <w:rPr>
          <w:b/>
          <w:sz w:val="24"/>
          <w:szCs w:val="24"/>
        </w:rPr>
        <w:t>i</w:t>
      </w:r>
      <w:r w:rsidRPr="00E96206">
        <w:rPr>
          <w:b/>
          <w:sz w:val="24"/>
          <w:szCs w:val="24"/>
        </w:rPr>
        <w:t xml:space="preserve">nformation, including </w:t>
      </w:r>
      <w:r w:rsidR="005D0579">
        <w:rPr>
          <w:b/>
          <w:sz w:val="24"/>
          <w:szCs w:val="24"/>
        </w:rPr>
        <w:t>p</w:t>
      </w:r>
      <w:r w:rsidRPr="00E96206">
        <w:rPr>
          <w:b/>
          <w:sz w:val="24"/>
          <w:szCs w:val="24"/>
        </w:rPr>
        <w:t xml:space="preserve">ercent, </w:t>
      </w:r>
      <w:r w:rsidR="005D0579">
        <w:rPr>
          <w:b/>
          <w:sz w:val="24"/>
          <w:szCs w:val="24"/>
        </w:rPr>
        <w:t>c</w:t>
      </w:r>
      <w:r w:rsidRPr="00E96206">
        <w:rPr>
          <w:b/>
          <w:sz w:val="24"/>
          <w:szCs w:val="24"/>
        </w:rPr>
        <w:t xml:space="preserve">haracteristics, and </w:t>
      </w:r>
      <w:r w:rsidR="005D0579">
        <w:rPr>
          <w:b/>
          <w:sz w:val="24"/>
          <w:szCs w:val="24"/>
        </w:rPr>
        <w:t>q</w:t>
      </w:r>
      <w:r w:rsidRPr="00E96206">
        <w:rPr>
          <w:b/>
          <w:sz w:val="24"/>
          <w:szCs w:val="24"/>
        </w:rPr>
        <w:t xml:space="preserve">uality </w:t>
      </w:r>
      <w:r w:rsidR="005D0579">
        <w:rPr>
          <w:b/>
          <w:sz w:val="24"/>
          <w:szCs w:val="24"/>
        </w:rPr>
        <w:t>c</w:t>
      </w:r>
      <w:r w:rsidRPr="00E96206">
        <w:rPr>
          <w:b/>
          <w:sz w:val="24"/>
          <w:szCs w:val="24"/>
        </w:rPr>
        <w:t xml:space="preserve">ontrol </w:t>
      </w:r>
      <w:r w:rsidR="005D0579">
        <w:rPr>
          <w:b/>
          <w:sz w:val="24"/>
          <w:szCs w:val="24"/>
        </w:rPr>
        <w:t>e</w:t>
      </w:r>
      <w:r w:rsidR="00E96206">
        <w:rPr>
          <w:b/>
          <w:sz w:val="24"/>
          <w:szCs w:val="24"/>
        </w:rPr>
        <w:t xml:space="preserve">rror </w:t>
      </w:r>
      <w:r w:rsidR="005D0579">
        <w:rPr>
          <w:b/>
          <w:sz w:val="24"/>
          <w:szCs w:val="24"/>
        </w:rPr>
        <w:t>r</w:t>
      </w:r>
      <w:r w:rsidR="00E96206">
        <w:rPr>
          <w:b/>
          <w:sz w:val="24"/>
          <w:szCs w:val="24"/>
        </w:rPr>
        <w:t xml:space="preserve">ate for </w:t>
      </w:r>
      <w:r w:rsidR="005D0579">
        <w:rPr>
          <w:b/>
          <w:sz w:val="24"/>
          <w:szCs w:val="24"/>
        </w:rPr>
        <w:t>a</w:t>
      </w:r>
      <w:r w:rsidR="00E96206">
        <w:rPr>
          <w:b/>
          <w:sz w:val="24"/>
          <w:szCs w:val="24"/>
        </w:rPr>
        <w:t xml:space="preserve">ffection </w:t>
      </w:r>
      <w:r w:rsidR="005D0579">
        <w:rPr>
          <w:b/>
          <w:sz w:val="24"/>
          <w:szCs w:val="24"/>
        </w:rPr>
        <w:t>p</w:t>
      </w:r>
      <w:r w:rsidR="00E96206">
        <w:rPr>
          <w:b/>
          <w:sz w:val="24"/>
          <w:szCs w:val="24"/>
        </w:rPr>
        <w:t>ortion</w:t>
      </w:r>
      <w:r w:rsidR="007B2FEA">
        <w:rPr>
          <w:b/>
          <w:sz w:val="24"/>
          <w:szCs w:val="24"/>
        </w:rPr>
        <w:t xml:space="preserve"> (if applicable)</w:t>
      </w:r>
      <w:r w:rsidR="00E96206">
        <w:rPr>
          <w:b/>
          <w:sz w:val="24"/>
          <w:szCs w:val="24"/>
        </w:rPr>
        <w:t>:</w:t>
      </w:r>
      <w:r w:rsidR="00600C5C">
        <w:rPr>
          <w:b/>
          <w:sz w:val="24"/>
          <w:szCs w:val="24"/>
        </w:rPr>
        <w:t xml:space="preserve">  </w:t>
      </w:r>
      <w:r w:rsidR="000C0C2F">
        <w:rPr>
          <w:sz w:val="24"/>
          <w:szCs w:val="24"/>
        </w:rPr>
        <w:t>The estimated number of ABAWDS to be waived by this waiver request is approximately 108,000, which is approximately 67% of the total number of ABAWDS in the state</w:t>
      </w:r>
      <w:r w:rsidR="008B6637">
        <w:rPr>
          <w:sz w:val="24"/>
          <w:szCs w:val="24"/>
        </w:rPr>
        <w:t xml:space="preserve">.  </w:t>
      </w:r>
      <w:r w:rsidR="00CB43CB" w:rsidRPr="00C31D63">
        <w:rPr>
          <w:sz w:val="24"/>
          <w:szCs w:val="24"/>
        </w:rPr>
        <w:t>There are no quality control procedures involved</w:t>
      </w:r>
      <w:r w:rsidR="00CB43CB">
        <w:rPr>
          <w:sz w:val="24"/>
          <w:szCs w:val="24"/>
        </w:rPr>
        <w:t>.</w:t>
      </w:r>
    </w:p>
    <w:p w:rsidR="00E501DD" w:rsidRDefault="00E501DD">
      <w:pPr>
        <w:ind w:left="420"/>
        <w:rPr>
          <w:b/>
          <w:sz w:val="24"/>
          <w:szCs w:val="24"/>
        </w:rPr>
      </w:pPr>
    </w:p>
    <w:p w:rsidR="005D0579" w:rsidRDefault="007772E2" w:rsidP="005D0579">
      <w:pPr>
        <w:numPr>
          <w:ilvl w:val="0"/>
          <w:numId w:val="1"/>
        </w:numPr>
        <w:rPr>
          <w:b/>
          <w:sz w:val="24"/>
          <w:szCs w:val="24"/>
        </w:rPr>
      </w:pPr>
      <w:r w:rsidRPr="00E96206">
        <w:rPr>
          <w:b/>
          <w:sz w:val="24"/>
          <w:szCs w:val="24"/>
        </w:rPr>
        <w:t xml:space="preserve">Anticipated </w:t>
      </w:r>
      <w:r w:rsidR="005D0579">
        <w:rPr>
          <w:b/>
          <w:sz w:val="24"/>
          <w:szCs w:val="24"/>
        </w:rPr>
        <w:t>i</w:t>
      </w:r>
      <w:r w:rsidRPr="00E96206">
        <w:rPr>
          <w:b/>
          <w:sz w:val="24"/>
          <w:szCs w:val="24"/>
        </w:rPr>
        <w:t xml:space="preserve">mplementation </w:t>
      </w:r>
      <w:r w:rsidR="005D0579">
        <w:rPr>
          <w:b/>
          <w:sz w:val="24"/>
          <w:szCs w:val="24"/>
        </w:rPr>
        <w:t>d</w:t>
      </w:r>
      <w:r w:rsidRPr="00E96206">
        <w:rPr>
          <w:b/>
          <w:sz w:val="24"/>
          <w:szCs w:val="24"/>
        </w:rPr>
        <w:t xml:space="preserve">ate and </w:t>
      </w:r>
      <w:r w:rsidR="005D0579">
        <w:rPr>
          <w:b/>
          <w:sz w:val="24"/>
          <w:szCs w:val="24"/>
        </w:rPr>
        <w:t>t</w:t>
      </w:r>
      <w:r w:rsidRPr="00E96206">
        <w:rPr>
          <w:b/>
          <w:sz w:val="24"/>
          <w:szCs w:val="24"/>
        </w:rPr>
        <w:t xml:space="preserve">ime </w:t>
      </w:r>
      <w:r w:rsidR="005D0579">
        <w:rPr>
          <w:b/>
          <w:sz w:val="24"/>
          <w:szCs w:val="24"/>
        </w:rPr>
        <w:t>period for which waiver is needed:</w:t>
      </w:r>
      <w:r w:rsidR="00600C5C">
        <w:rPr>
          <w:b/>
          <w:sz w:val="24"/>
          <w:szCs w:val="24"/>
        </w:rPr>
        <w:t xml:space="preserve">  </w:t>
      </w:r>
      <w:r w:rsidR="00CB43CB" w:rsidRPr="00CB43CB">
        <w:rPr>
          <w:sz w:val="24"/>
          <w:szCs w:val="24"/>
        </w:rPr>
        <w:t>The State is requesting a one-year waiver, from January 1, 2016-December 31, 2016.</w:t>
      </w:r>
      <w:r w:rsidR="00CB43CB">
        <w:rPr>
          <w:b/>
          <w:sz w:val="24"/>
          <w:szCs w:val="24"/>
        </w:rPr>
        <w:t xml:space="preserve"> </w:t>
      </w:r>
    </w:p>
    <w:p w:rsidR="00600C5C" w:rsidRDefault="00600C5C" w:rsidP="00600C5C">
      <w:pPr>
        <w:rPr>
          <w:b/>
          <w:sz w:val="24"/>
          <w:szCs w:val="24"/>
        </w:rPr>
      </w:pPr>
    </w:p>
    <w:p w:rsidR="0028184A" w:rsidRPr="00CB43CB" w:rsidRDefault="005D0579" w:rsidP="00CB43CB">
      <w:pPr>
        <w:numPr>
          <w:ilvl w:val="0"/>
          <w:numId w:val="1"/>
        </w:numPr>
        <w:rPr>
          <w:sz w:val="24"/>
          <w:szCs w:val="24"/>
        </w:rPr>
      </w:pPr>
      <w:r w:rsidRPr="005D0579">
        <w:rPr>
          <w:b/>
          <w:sz w:val="24"/>
          <w:szCs w:val="24"/>
        </w:rPr>
        <w:t>Proposed quality c</w:t>
      </w:r>
      <w:r w:rsidR="0028184A" w:rsidRPr="005D0579">
        <w:rPr>
          <w:b/>
          <w:sz w:val="24"/>
          <w:szCs w:val="24"/>
        </w:rPr>
        <w:t xml:space="preserve">ontrol </w:t>
      </w:r>
      <w:r w:rsidRPr="005D0579">
        <w:rPr>
          <w:b/>
          <w:sz w:val="24"/>
          <w:szCs w:val="24"/>
        </w:rPr>
        <w:t>r</w:t>
      </w:r>
      <w:r w:rsidR="0028184A" w:rsidRPr="005D0579">
        <w:rPr>
          <w:b/>
          <w:sz w:val="24"/>
          <w:szCs w:val="24"/>
        </w:rPr>
        <w:t xml:space="preserve">eview </w:t>
      </w:r>
      <w:r w:rsidRPr="005D0579">
        <w:rPr>
          <w:b/>
          <w:sz w:val="24"/>
          <w:szCs w:val="24"/>
        </w:rPr>
        <w:t>p</w:t>
      </w:r>
      <w:r w:rsidR="0028184A" w:rsidRPr="005D0579">
        <w:rPr>
          <w:b/>
          <w:sz w:val="24"/>
          <w:szCs w:val="24"/>
        </w:rPr>
        <w:t xml:space="preserve">rocedures: </w:t>
      </w:r>
      <w:r w:rsidR="00600C5C">
        <w:rPr>
          <w:b/>
          <w:sz w:val="24"/>
          <w:szCs w:val="24"/>
        </w:rPr>
        <w:t xml:space="preserve"> </w:t>
      </w:r>
      <w:r w:rsidR="00CB43CB" w:rsidRPr="00C31D63">
        <w:rPr>
          <w:sz w:val="24"/>
          <w:szCs w:val="24"/>
        </w:rPr>
        <w:t>There are no special quality control procedures needed in conjunction with this waiver.</w:t>
      </w:r>
    </w:p>
    <w:p w:rsidR="00E501DD" w:rsidRDefault="00E501DD">
      <w:pPr>
        <w:ind w:left="420" w:right="-720"/>
        <w:rPr>
          <w:b/>
          <w:sz w:val="24"/>
          <w:szCs w:val="24"/>
        </w:rPr>
      </w:pPr>
    </w:p>
    <w:p w:rsidR="00CE7EB2" w:rsidRPr="000C0C2F" w:rsidRDefault="00A2676B" w:rsidP="00CE7EB2">
      <w:pPr>
        <w:numPr>
          <w:ilvl w:val="0"/>
          <w:numId w:val="1"/>
        </w:numPr>
        <w:rPr>
          <w:sz w:val="24"/>
          <w:szCs w:val="24"/>
        </w:rPr>
      </w:pPr>
      <w:r>
        <w:rPr>
          <w:b/>
          <w:sz w:val="24"/>
          <w:szCs w:val="24"/>
        </w:rPr>
        <w:t xml:space="preserve">State </w:t>
      </w:r>
      <w:r w:rsidR="005D0579">
        <w:rPr>
          <w:b/>
          <w:sz w:val="24"/>
          <w:szCs w:val="24"/>
        </w:rPr>
        <w:t>a</w:t>
      </w:r>
      <w:r>
        <w:rPr>
          <w:b/>
          <w:sz w:val="24"/>
          <w:szCs w:val="24"/>
        </w:rPr>
        <w:t xml:space="preserve">gency </w:t>
      </w:r>
      <w:r w:rsidR="005D0579">
        <w:rPr>
          <w:b/>
          <w:sz w:val="24"/>
          <w:szCs w:val="24"/>
        </w:rPr>
        <w:t>s</w:t>
      </w:r>
      <w:r>
        <w:rPr>
          <w:b/>
          <w:sz w:val="24"/>
          <w:szCs w:val="24"/>
        </w:rPr>
        <w:t xml:space="preserve">ubmitting </w:t>
      </w:r>
      <w:r w:rsidR="005D0579">
        <w:rPr>
          <w:b/>
          <w:sz w:val="24"/>
          <w:szCs w:val="24"/>
        </w:rPr>
        <w:t>w</w:t>
      </w:r>
      <w:r>
        <w:rPr>
          <w:b/>
          <w:sz w:val="24"/>
          <w:szCs w:val="24"/>
        </w:rPr>
        <w:t xml:space="preserve">aiver </w:t>
      </w:r>
      <w:r w:rsidR="005D0579">
        <w:rPr>
          <w:b/>
          <w:sz w:val="24"/>
          <w:szCs w:val="24"/>
        </w:rPr>
        <w:t>r</w:t>
      </w:r>
      <w:r>
        <w:rPr>
          <w:b/>
          <w:sz w:val="24"/>
          <w:szCs w:val="24"/>
        </w:rPr>
        <w:t xml:space="preserve">equest and </w:t>
      </w:r>
      <w:r w:rsidR="005D0579">
        <w:rPr>
          <w:b/>
          <w:sz w:val="24"/>
          <w:szCs w:val="24"/>
        </w:rPr>
        <w:t>S</w:t>
      </w:r>
      <w:r>
        <w:rPr>
          <w:b/>
          <w:sz w:val="24"/>
          <w:szCs w:val="24"/>
        </w:rPr>
        <w:t xml:space="preserve">tate </w:t>
      </w:r>
      <w:r w:rsidR="005D0579">
        <w:rPr>
          <w:b/>
          <w:sz w:val="24"/>
          <w:szCs w:val="24"/>
        </w:rPr>
        <w:t>c</w:t>
      </w:r>
      <w:r>
        <w:rPr>
          <w:b/>
          <w:sz w:val="24"/>
          <w:szCs w:val="24"/>
        </w:rPr>
        <w:t xml:space="preserve">ontact </w:t>
      </w:r>
      <w:r w:rsidR="005D0579">
        <w:rPr>
          <w:b/>
          <w:sz w:val="24"/>
          <w:szCs w:val="24"/>
        </w:rPr>
        <w:t>p</w:t>
      </w:r>
      <w:r>
        <w:rPr>
          <w:b/>
          <w:sz w:val="24"/>
          <w:szCs w:val="24"/>
        </w:rPr>
        <w:t>erson:</w:t>
      </w:r>
      <w:r w:rsidR="00600C5C">
        <w:rPr>
          <w:b/>
          <w:sz w:val="24"/>
          <w:szCs w:val="24"/>
        </w:rPr>
        <w:t xml:space="preserve">  </w:t>
      </w:r>
      <w:r w:rsidR="000C0C2F" w:rsidRPr="000C0C2F">
        <w:rPr>
          <w:sz w:val="24"/>
          <w:szCs w:val="24"/>
        </w:rPr>
        <w:t>New York State Office of Temporary and Disability Assistance</w:t>
      </w:r>
      <w:r w:rsidR="000C0C2F">
        <w:rPr>
          <w:sz w:val="24"/>
          <w:szCs w:val="24"/>
        </w:rPr>
        <w:t>, Phyllis Morris</w:t>
      </w:r>
    </w:p>
    <w:p w:rsidR="00696D74" w:rsidRDefault="00696D74" w:rsidP="00CE7EB2">
      <w:pPr>
        <w:pStyle w:val="ListParagraph"/>
        <w:rPr>
          <w:b/>
          <w:sz w:val="24"/>
          <w:szCs w:val="24"/>
        </w:rPr>
      </w:pPr>
    </w:p>
    <w:p w:rsidR="00696D74" w:rsidRDefault="00696D74" w:rsidP="00CE7EB2">
      <w:pPr>
        <w:pStyle w:val="ListParagraph"/>
        <w:rPr>
          <w:b/>
          <w:sz w:val="24"/>
          <w:szCs w:val="24"/>
        </w:rPr>
      </w:pPr>
    </w:p>
    <w:p w:rsidR="00A2676B" w:rsidRPr="00CE7EB2" w:rsidRDefault="007772E2" w:rsidP="00CE7EB2">
      <w:pPr>
        <w:numPr>
          <w:ilvl w:val="0"/>
          <w:numId w:val="1"/>
        </w:numPr>
        <w:rPr>
          <w:b/>
          <w:sz w:val="24"/>
          <w:szCs w:val="24"/>
        </w:rPr>
      </w:pPr>
      <w:r w:rsidRPr="00CE7EB2">
        <w:rPr>
          <w:b/>
          <w:sz w:val="24"/>
          <w:szCs w:val="24"/>
        </w:rPr>
        <w:t xml:space="preserve">Signature and </w:t>
      </w:r>
      <w:r w:rsidR="005D0579" w:rsidRPr="00CE7EB2">
        <w:rPr>
          <w:b/>
          <w:sz w:val="24"/>
          <w:szCs w:val="24"/>
        </w:rPr>
        <w:t>t</w:t>
      </w:r>
      <w:r w:rsidRPr="00CE7EB2">
        <w:rPr>
          <w:b/>
          <w:sz w:val="24"/>
          <w:szCs w:val="24"/>
        </w:rPr>
        <w:t xml:space="preserve">itle of </w:t>
      </w:r>
      <w:r w:rsidR="005D0579" w:rsidRPr="00CE7EB2">
        <w:rPr>
          <w:b/>
          <w:sz w:val="24"/>
          <w:szCs w:val="24"/>
        </w:rPr>
        <w:t>r</w:t>
      </w:r>
      <w:r w:rsidRPr="00CE7EB2">
        <w:rPr>
          <w:b/>
          <w:sz w:val="24"/>
          <w:szCs w:val="24"/>
        </w:rPr>
        <w:t xml:space="preserve">equesting </w:t>
      </w:r>
      <w:r w:rsidR="005D0579" w:rsidRPr="00CE7EB2">
        <w:rPr>
          <w:b/>
          <w:sz w:val="24"/>
          <w:szCs w:val="24"/>
        </w:rPr>
        <w:t>o</w:t>
      </w:r>
      <w:r w:rsidRPr="00CE7EB2">
        <w:rPr>
          <w:b/>
          <w:sz w:val="24"/>
          <w:szCs w:val="24"/>
        </w:rPr>
        <w:t>fficial:</w:t>
      </w:r>
      <w:r w:rsidR="00600C5C" w:rsidRPr="00CE7EB2">
        <w:rPr>
          <w:b/>
          <w:sz w:val="24"/>
          <w:szCs w:val="24"/>
        </w:rPr>
        <w:t xml:space="preserve">  </w:t>
      </w:r>
    </w:p>
    <w:p w:rsidR="00E501DD" w:rsidRDefault="00E501DD">
      <w:pPr>
        <w:ind w:left="450"/>
        <w:rPr>
          <w:b/>
          <w:sz w:val="24"/>
          <w:szCs w:val="24"/>
        </w:rPr>
      </w:pPr>
    </w:p>
    <w:p w:rsidR="00A2676B" w:rsidRDefault="00DD13CD" w:rsidP="00A2676B">
      <w:pPr>
        <w:ind w:left="810" w:right="-720"/>
        <w:rPr>
          <w:b/>
          <w:sz w:val="24"/>
          <w:szCs w:val="24"/>
        </w:rPr>
      </w:pPr>
      <w:r w:rsidRPr="00DD13CD">
        <w:rPr>
          <w:b/>
          <w:i/>
          <w:sz w:val="24"/>
          <w:szCs w:val="24"/>
        </w:rPr>
        <w:t>/s/Phyllis D. Morris</w:t>
      </w:r>
      <w:r w:rsidR="00313772" w:rsidRPr="00DD13CD">
        <w:rPr>
          <w:b/>
          <w:i/>
          <w:sz w:val="24"/>
          <w:szCs w:val="24"/>
        </w:rPr>
        <w:br/>
      </w:r>
      <w:r w:rsidR="00313772" w:rsidRPr="00313772">
        <w:rPr>
          <w:sz w:val="24"/>
          <w:szCs w:val="24"/>
        </w:rPr>
        <w:t xml:space="preserve">Title: </w:t>
      </w:r>
      <w:r w:rsidR="00462E36">
        <w:rPr>
          <w:sz w:val="24"/>
          <w:szCs w:val="24"/>
        </w:rPr>
        <w:t xml:space="preserve"> </w:t>
      </w:r>
      <w:r w:rsidR="000C0C2F">
        <w:rPr>
          <w:sz w:val="24"/>
          <w:szCs w:val="24"/>
        </w:rPr>
        <w:t>Deputy Commissioner</w:t>
      </w:r>
      <w:r w:rsidR="00313772">
        <w:rPr>
          <w:sz w:val="24"/>
          <w:szCs w:val="24"/>
        </w:rPr>
        <w:br/>
      </w:r>
      <w:r w:rsidR="006A3A89">
        <w:rPr>
          <w:sz w:val="24"/>
          <w:szCs w:val="24"/>
        </w:rPr>
        <w:t>Email</w:t>
      </w:r>
      <w:r w:rsidR="00DB106F">
        <w:rPr>
          <w:sz w:val="24"/>
          <w:szCs w:val="24"/>
        </w:rPr>
        <w:t xml:space="preserve"> for transmission of response</w:t>
      </w:r>
      <w:r w:rsidR="006A3A89">
        <w:rPr>
          <w:sz w:val="24"/>
          <w:szCs w:val="24"/>
        </w:rPr>
        <w:t xml:space="preserve">: </w:t>
      </w:r>
      <w:r w:rsidR="00462E36">
        <w:rPr>
          <w:sz w:val="24"/>
          <w:szCs w:val="24"/>
        </w:rPr>
        <w:t xml:space="preserve"> </w:t>
      </w:r>
      <w:hyperlink r:id="rId11" w:history="1">
        <w:r w:rsidR="000C0C2F" w:rsidRPr="00AC2142">
          <w:rPr>
            <w:rStyle w:val="Hyperlink"/>
            <w:sz w:val="24"/>
            <w:szCs w:val="24"/>
          </w:rPr>
          <w:t>Phyllis.Morris@otda.ny.gov</w:t>
        </w:r>
      </w:hyperlink>
    </w:p>
    <w:p w:rsidR="00CE7EB2" w:rsidRPr="003522DF" w:rsidRDefault="00CE7EB2" w:rsidP="00CE7EB2">
      <w:pPr>
        <w:pStyle w:val="ListParagraph"/>
        <w:numPr>
          <w:ilvl w:val="0"/>
          <w:numId w:val="1"/>
        </w:numPr>
        <w:ind w:right="-720"/>
        <w:rPr>
          <w:sz w:val="24"/>
          <w:szCs w:val="24"/>
        </w:rPr>
      </w:pPr>
      <w:r w:rsidRPr="003522DF">
        <w:rPr>
          <w:b/>
          <w:sz w:val="24"/>
          <w:szCs w:val="24"/>
        </w:rPr>
        <w:t xml:space="preserve">Date of request:  </w:t>
      </w:r>
      <w:r w:rsidR="000C0C2F" w:rsidRPr="003522DF">
        <w:rPr>
          <w:sz w:val="24"/>
          <w:szCs w:val="24"/>
        </w:rPr>
        <w:t xml:space="preserve">September </w:t>
      </w:r>
      <w:r w:rsidR="00DD13CD">
        <w:rPr>
          <w:sz w:val="24"/>
          <w:szCs w:val="24"/>
        </w:rPr>
        <w:t>17</w:t>
      </w:r>
      <w:r w:rsidR="000C0C2F" w:rsidRPr="003522DF">
        <w:rPr>
          <w:sz w:val="24"/>
          <w:szCs w:val="24"/>
        </w:rPr>
        <w:t>, 2015</w:t>
      </w:r>
    </w:p>
    <w:p w:rsidR="00E501DD" w:rsidRDefault="00E501DD" w:rsidP="00CE7EB2">
      <w:pPr>
        <w:ind w:left="420"/>
        <w:rPr>
          <w:b/>
          <w:sz w:val="24"/>
          <w:szCs w:val="24"/>
        </w:rPr>
      </w:pPr>
    </w:p>
    <w:p w:rsidR="00CE7EB2" w:rsidRDefault="00262DC5" w:rsidP="00CE7EB2">
      <w:pPr>
        <w:pStyle w:val="ListParagraph"/>
        <w:numPr>
          <w:ilvl w:val="0"/>
          <w:numId w:val="1"/>
        </w:numPr>
        <w:ind w:right="-720"/>
        <w:rPr>
          <w:b/>
          <w:sz w:val="24"/>
          <w:szCs w:val="24"/>
        </w:rPr>
      </w:pPr>
      <w:r>
        <w:rPr>
          <w:b/>
          <w:sz w:val="24"/>
          <w:szCs w:val="24"/>
        </w:rPr>
        <w:t>State agency</w:t>
      </w:r>
      <w:r w:rsidR="00DB106F">
        <w:rPr>
          <w:b/>
          <w:sz w:val="24"/>
          <w:szCs w:val="24"/>
        </w:rPr>
        <w:t xml:space="preserve"> staff</w:t>
      </w:r>
      <w:r>
        <w:rPr>
          <w:b/>
          <w:sz w:val="24"/>
          <w:szCs w:val="24"/>
        </w:rPr>
        <w:t xml:space="preserve"> contact (name/email/telephone):</w:t>
      </w:r>
      <w:r w:rsidR="00600C5C">
        <w:rPr>
          <w:b/>
          <w:sz w:val="24"/>
          <w:szCs w:val="24"/>
        </w:rPr>
        <w:t xml:space="preserve">  </w:t>
      </w:r>
      <w:r w:rsidR="003F2B41">
        <w:rPr>
          <w:sz w:val="24"/>
          <w:szCs w:val="24"/>
        </w:rPr>
        <w:t>Barbara Guinn</w:t>
      </w:r>
      <w:r w:rsidR="000C0C2F">
        <w:rPr>
          <w:sz w:val="24"/>
          <w:szCs w:val="24"/>
        </w:rPr>
        <w:t xml:space="preserve"> </w:t>
      </w:r>
      <w:hyperlink r:id="rId12" w:history="1">
        <w:r w:rsidR="003F2B41" w:rsidRPr="000917C6">
          <w:rPr>
            <w:rStyle w:val="Hyperlink"/>
            <w:sz w:val="24"/>
            <w:szCs w:val="24"/>
          </w:rPr>
          <w:t>/BarbaraC.guinn@otda.ny.gov</w:t>
        </w:r>
      </w:hyperlink>
      <w:r w:rsidR="003F2B41">
        <w:rPr>
          <w:sz w:val="24"/>
          <w:szCs w:val="24"/>
        </w:rPr>
        <w:t xml:space="preserve"> / (518) 486-6106</w:t>
      </w:r>
    </w:p>
    <w:p w:rsidR="00CE7EB2" w:rsidRPr="00CE7EB2" w:rsidRDefault="00CE7EB2" w:rsidP="00CE7EB2">
      <w:pPr>
        <w:pStyle w:val="ListParagraph"/>
        <w:rPr>
          <w:b/>
          <w:sz w:val="24"/>
          <w:szCs w:val="24"/>
        </w:rPr>
      </w:pPr>
    </w:p>
    <w:p w:rsidR="008B641C" w:rsidRPr="00CE7EB2" w:rsidRDefault="008B641C" w:rsidP="00CE7EB2">
      <w:pPr>
        <w:pStyle w:val="ListParagraph"/>
        <w:numPr>
          <w:ilvl w:val="0"/>
          <w:numId w:val="1"/>
        </w:numPr>
        <w:ind w:right="-720"/>
        <w:rPr>
          <w:b/>
          <w:sz w:val="24"/>
          <w:szCs w:val="24"/>
        </w:rPr>
      </w:pPr>
      <w:r w:rsidRPr="00CE7EB2">
        <w:rPr>
          <w:b/>
          <w:sz w:val="24"/>
          <w:szCs w:val="24"/>
        </w:rPr>
        <w:t xml:space="preserve">Regional </w:t>
      </w:r>
      <w:r w:rsidR="005D0579" w:rsidRPr="00CE7EB2">
        <w:rPr>
          <w:b/>
          <w:sz w:val="24"/>
          <w:szCs w:val="24"/>
        </w:rPr>
        <w:t>o</w:t>
      </w:r>
      <w:r w:rsidRPr="00CE7EB2">
        <w:rPr>
          <w:b/>
          <w:sz w:val="24"/>
          <w:szCs w:val="24"/>
        </w:rPr>
        <w:t>ffice contact person (</w:t>
      </w:r>
      <w:r w:rsidR="002571A0" w:rsidRPr="00CE7EB2">
        <w:rPr>
          <w:b/>
          <w:i/>
          <w:sz w:val="24"/>
          <w:szCs w:val="24"/>
        </w:rPr>
        <w:t>to be completed by FNS r</w:t>
      </w:r>
      <w:r w:rsidRPr="00CE7EB2">
        <w:rPr>
          <w:b/>
          <w:i/>
          <w:sz w:val="24"/>
          <w:szCs w:val="24"/>
        </w:rPr>
        <w:t xml:space="preserve">egional </w:t>
      </w:r>
      <w:r w:rsidR="005D0579" w:rsidRPr="00CE7EB2">
        <w:rPr>
          <w:b/>
          <w:i/>
          <w:sz w:val="24"/>
          <w:szCs w:val="24"/>
        </w:rPr>
        <w:t>o</w:t>
      </w:r>
      <w:r w:rsidRPr="00CE7EB2">
        <w:rPr>
          <w:b/>
          <w:i/>
          <w:sz w:val="24"/>
          <w:szCs w:val="24"/>
        </w:rPr>
        <w:t>ffice</w:t>
      </w:r>
      <w:r w:rsidRPr="00CE7EB2">
        <w:rPr>
          <w:b/>
          <w:sz w:val="24"/>
          <w:szCs w:val="24"/>
        </w:rPr>
        <w:t>):</w:t>
      </w:r>
      <w:r w:rsidR="00600C5C" w:rsidRPr="00CE7EB2">
        <w:rPr>
          <w:b/>
          <w:sz w:val="24"/>
          <w:szCs w:val="24"/>
        </w:rPr>
        <w:t xml:space="preserve">  </w:t>
      </w:r>
    </w:p>
    <w:sectPr w:rsidR="008B641C" w:rsidRPr="00CE7EB2" w:rsidSect="00894F5F">
      <w:footerReference w:type="defaul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57EE" w:rsidRDefault="00E457EE" w:rsidP="00A2676B">
      <w:r>
        <w:separator/>
      </w:r>
    </w:p>
  </w:endnote>
  <w:endnote w:type="continuationSeparator" w:id="0">
    <w:p w:rsidR="00E457EE" w:rsidRDefault="00E457EE"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0579" w:rsidRDefault="00854AE1" w:rsidP="00A2676B">
    <w:pPr>
      <w:pStyle w:val="Footer"/>
      <w:jc w:val="right"/>
    </w:pPr>
    <w:r>
      <w:t xml:space="preserve">Rev </w:t>
    </w:r>
    <w:r w:rsidR="000F4109">
      <w:t>10</w:t>
    </w:r>
    <w:r w:rsidR="005D0579">
      <w:t>/201</w:t>
    </w:r>
    <w:r w:rsidR="006A3A89">
      <w:t>3</w:t>
    </w:r>
  </w:p>
  <w:p w:rsidR="005D0579" w:rsidRDefault="005D0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57EE" w:rsidRDefault="00E457EE" w:rsidP="00A2676B">
      <w:r>
        <w:separator/>
      </w:r>
    </w:p>
  </w:footnote>
  <w:footnote w:type="continuationSeparator" w:id="0">
    <w:p w:rsidR="00E457EE" w:rsidRDefault="00E457EE" w:rsidP="00A2676B">
      <w:r>
        <w:continuationSeparator/>
      </w:r>
    </w:p>
  </w:footnote>
  <w:footnote w:id="1">
    <w:p w:rsidR="007D0BCA" w:rsidRDefault="007D0BCA">
      <w:pPr>
        <w:pStyle w:val="FootnoteText"/>
      </w:pPr>
      <w:r>
        <w:rPr>
          <w:rStyle w:val="FootnoteReference"/>
        </w:rPr>
        <w:footnoteRef/>
      </w:r>
      <w:r>
        <w:t xml:space="preserve"> Information about the Upper Manhattan Empowerment Zone is available here: </w:t>
      </w:r>
      <w:hyperlink r:id="rId1" w:history="1">
        <w:r w:rsidRPr="002F7BCA">
          <w:rPr>
            <w:rStyle w:val="Hyperlink"/>
          </w:rPr>
          <w:t>http://www.umez.org/index.cfm</w:t>
        </w:r>
      </w:hyperlink>
      <w:r>
        <w:t xml:space="preserve">. Information about empowerment zones in general is available here: </w:t>
      </w:r>
      <w:hyperlink r:id="rId2" w:history="1">
        <w:r w:rsidRPr="002F7BCA">
          <w:rPr>
            <w:rStyle w:val="Hyperlink"/>
          </w:rPr>
          <w:t>http://portal.hud.gov/hudportal/HUD?src=/program_offices/comm_planning/economicdevelopment/programs/rc</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4E82"/>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4536D89"/>
    <w:multiLevelType w:val="singleLevel"/>
    <w:tmpl w:val="F5A66DFC"/>
    <w:lvl w:ilvl="0">
      <w:start w:val="1"/>
      <w:numFmt w:val="upperLetter"/>
      <w:lvlText w:val="%1."/>
      <w:lvlJc w:val="left"/>
      <w:pPr>
        <w:tabs>
          <w:tab w:val="num" w:pos="630"/>
        </w:tabs>
        <w:ind w:left="630" w:hanging="630"/>
      </w:pPr>
    </w:lvl>
  </w:abstractNum>
  <w:abstractNum w:abstractNumId="5" w15:restartNumberingAfterBreak="0">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70A2CB1"/>
    <w:multiLevelType w:val="singleLevel"/>
    <w:tmpl w:val="1CB21D7A"/>
    <w:lvl w:ilvl="0">
      <w:start w:val="1"/>
      <w:numFmt w:val="decimal"/>
      <w:lvlText w:val="%1."/>
      <w:lvlJc w:val="left"/>
      <w:pPr>
        <w:tabs>
          <w:tab w:val="num" w:pos="420"/>
        </w:tabs>
        <w:ind w:left="420" w:hanging="420"/>
      </w:pPr>
      <w:rPr>
        <w:b/>
      </w:rPr>
    </w:lvl>
  </w:abstractNum>
  <w:abstractNum w:abstractNumId="12"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59948DC"/>
    <w:multiLevelType w:val="hybridMultilevel"/>
    <w:tmpl w:val="8EACD55A"/>
    <w:lvl w:ilvl="0" w:tplc="5A027186">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AEA351D"/>
    <w:multiLevelType w:val="hybridMultilevel"/>
    <w:tmpl w:val="436622F2"/>
    <w:lvl w:ilvl="0" w:tplc="D8C21538">
      <w:start w:val="1"/>
      <w:numFmt w:val="lowerLetter"/>
      <w:lvlText w:val="%1."/>
      <w:lvlJc w:val="left"/>
      <w:pPr>
        <w:ind w:left="780" w:hanging="360"/>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4052558">
    <w:abstractNumId w:val="11"/>
  </w:num>
  <w:num w:numId="2" w16cid:durableId="981040863">
    <w:abstractNumId w:val="7"/>
  </w:num>
  <w:num w:numId="3" w16cid:durableId="135806115">
    <w:abstractNumId w:val="13"/>
  </w:num>
  <w:num w:numId="4" w16cid:durableId="2085369548">
    <w:abstractNumId w:val="9"/>
  </w:num>
  <w:num w:numId="5" w16cid:durableId="56712395">
    <w:abstractNumId w:val="8"/>
  </w:num>
  <w:num w:numId="6" w16cid:durableId="279530095">
    <w:abstractNumId w:val="2"/>
  </w:num>
  <w:num w:numId="7" w16cid:durableId="593199076">
    <w:abstractNumId w:val="4"/>
  </w:num>
  <w:num w:numId="8" w16cid:durableId="1103526359">
    <w:abstractNumId w:val="1"/>
  </w:num>
  <w:num w:numId="9" w16cid:durableId="1776635240">
    <w:abstractNumId w:val="3"/>
  </w:num>
  <w:num w:numId="10" w16cid:durableId="985937826">
    <w:abstractNumId w:val="17"/>
  </w:num>
  <w:num w:numId="11" w16cid:durableId="2106997907">
    <w:abstractNumId w:val="6"/>
  </w:num>
  <w:num w:numId="12" w16cid:durableId="1411079306">
    <w:abstractNumId w:val="15"/>
  </w:num>
  <w:num w:numId="13" w16cid:durableId="419331018">
    <w:abstractNumId w:val="5"/>
  </w:num>
  <w:num w:numId="14" w16cid:durableId="412972590">
    <w:abstractNumId w:val="10"/>
  </w:num>
  <w:num w:numId="15" w16cid:durableId="2047874002">
    <w:abstractNumId w:val="12"/>
  </w:num>
  <w:num w:numId="16" w16cid:durableId="461921964">
    <w:abstractNumId w:val="16"/>
  </w:num>
  <w:num w:numId="17" w16cid:durableId="713238911">
    <w:abstractNumId w:val="0"/>
  </w:num>
  <w:num w:numId="18" w16cid:durableId="3159145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2E2"/>
    <w:rsid w:val="0002416C"/>
    <w:rsid w:val="000417D6"/>
    <w:rsid w:val="00077E41"/>
    <w:rsid w:val="000A0D86"/>
    <w:rsid w:val="000C0C2F"/>
    <w:rsid w:val="000C2329"/>
    <w:rsid w:val="000D56AB"/>
    <w:rsid w:val="000F4109"/>
    <w:rsid w:val="000F5461"/>
    <w:rsid w:val="00151156"/>
    <w:rsid w:val="00190D7E"/>
    <w:rsid w:val="001C6C28"/>
    <w:rsid w:val="00216294"/>
    <w:rsid w:val="002309C3"/>
    <w:rsid w:val="0025152B"/>
    <w:rsid w:val="002571A0"/>
    <w:rsid w:val="00262DC5"/>
    <w:rsid w:val="002630C2"/>
    <w:rsid w:val="002775DE"/>
    <w:rsid w:val="0028184A"/>
    <w:rsid w:val="0028449F"/>
    <w:rsid w:val="002903D4"/>
    <w:rsid w:val="00292FB4"/>
    <w:rsid w:val="002B443C"/>
    <w:rsid w:val="00313772"/>
    <w:rsid w:val="0033064F"/>
    <w:rsid w:val="00351D60"/>
    <w:rsid w:val="003522DF"/>
    <w:rsid w:val="003B69EC"/>
    <w:rsid w:val="003E7D46"/>
    <w:rsid w:val="003F1066"/>
    <w:rsid w:val="003F2B41"/>
    <w:rsid w:val="004051B1"/>
    <w:rsid w:val="00423E27"/>
    <w:rsid w:val="00462E36"/>
    <w:rsid w:val="0048676B"/>
    <w:rsid w:val="004C0BCF"/>
    <w:rsid w:val="004D2EA1"/>
    <w:rsid w:val="004F21D9"/>
    <w:rsid w:val="00522BDD"/>
    <w:rsid w:val="005354BC"/>
    <w:rsid w:val="005372FA"/>
    <w:rsid w:val="00552284"/>
    <w:rsid w:val="0057350F"/>
    <w:rsid w:val="005A0532"/>
    <w:rsid w:val="005B152D"/>
    <w:rsid w:val="005D0579"/>
    <w:rsid w:val="006004F0"/>
    <w:rsid w:val="00600C5C"/>
    <w:rsid w:val="00610221"/>
    <w:rsid w:val="00631D07"/>
    <w:rsid w:val="00656A81"/>
    <w:rsid w:val="00663C2F"/>
    <w:rsid w:val="00696D74"/>
    <w:rsid w:val="006A3A89"/>
    <w:rsid w:val="006B28CB"/>
    <w:rsid w:val="006B379B"/>
    <w:rsid w:val="0071510E"/>
    <w:rsid w:val="0071744B"/>
    <w:rsid w:val="007772E2"/>
    <w:rsid w:val="00792366"/>
    <w:rsid w:val="007B2FEA"/>
    <w:rsid w:val="007C0E21"/>
    <w:rsid w:val="007D0BCA"/>
    <w:rsid w:val="0082269F"/>
    <w:rsid w:val="00824027"/>
    <w:rsid w:val="008527F0"/>
    <w:rsid w:val="00854AE1"/>
    <w:rsid w:val="00861328"/>
    <w:rsid w:val="00882E3D"/>
    <w:rsid w:val="00883070"/>
    <w:rsid w:val="008847C6"/>
    <w:rsid w:val="00894F5F"/>
    <w:rsid w:val="008B641C"/>
    <w:rsid w:val="008B6637"/>
    <w:rsid w:val="008C093E"/>
    <w:rsid w:val="008C3B5E"/>
    <w:rsid w:val="008F2472"/>
    <w:rsid w:val="00975C19"/>
    <w:rsid w:val="00994DBA"/>
    <w:rsid w:val="009A1007"/>
    <w:rsid w:val="009F16B3"/>
    <w:rsid w:val="00A07852"/>
    <w:rsid w:val="00A2676B"/>
    <w:rsid w:val="00A83654"/>
    <w:rsid w:val="00AD264A"/>
    <w:rsid w:val="00B161A6"/>
    <w:rsid w:val="00B555FE"/>
    <w:rsid w:val="00B77579"/>
    <w:rsid w:val="00B9231B"/>
    <w:rsid w:val="00BC03FA"/>
    <w:rsid w:val="00C07BEE"/>
    <w:rsid w:val="00C327F6"/>
    <w:rsid w:val="00C43E19"/>
    <w:rsid w:val="00CB39E9"/>
    <w:rsid w:val="00CB43CB"/>
    <w:rsid w:val="00CC0CF4"/>
    <w:rsid w:val="00CE7EB2"/>
    <w:rsid w:val="00D00976"/>
    <w:rsid w:val="00D00A8A"/>
    <w:rsid w:val="00D231AD"/>
    <w:rsid w:val="00D2448A"/>
    <w:rsid w:val="00D408A5"/>
    <w:rsid w:val="00D54FE6"/>
    <w:rsid w:val="00D56064"/>
    <w:rsid w:val="00D70A97"/>
    <w:rsid w:val="00DB106F"/>
    <w:rsid w:val="00DC0EA5"/>
    <w:rsid w:val="00DD13CD"/>
    <w:rsid w:val="00DD77DF"/>
    <w:rsid w:val="00DF632A"/>
    <w:rsid w:val="00E37E65"/>
    <w:rsid w:val="00E457EE"/>
    <w:rsid w:val="00E46410"/>
    <w:rsid w:val="00E501DD"/>
    <w:rsid w:val="00E73DA7"/>
    <w:rsid w:val="00E96206"/>
    <w:rsid w:val="00EE45EB"/>
    <w:rsid w:val="00F075EE"/>
    <w:rsid w:val="00F41081"/>
    <w:rsid w:val="00F42ED4"/>
    <w:rsid w:val="00F712BF"/>
    <w:rsid w:val="00F7505E"/>
    <w:rsid w:val="00F76B31"/>
    <w:rsid w:val="00FB50CA"/>
    <w:rsid w:val="00FC3ACB"/>
    <w:rsid w:val="00FC65D2"/>
    <w:rsid w:val="00FD3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2ED66AD-1627-478B-B6A2-E89A1231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FootnoteText">
    <w:name w:val="footnote text"/>
    <w:basedOn w:val="Normal"/>
    <w:link w:val="FootnoteTextChar"/>
    <w:semiHidden/>
    <w:unhideWhenUsed/>
    <w:rsid w:val="007D0BCA"/>
  </w:style>
  <w:style w:type="character" w:customStyle="1" w:styleId="FootnoteTextChar">
    <w:name w:val="Footnote Text Char"/>
    <w:basedOn w:val="DefaultParagraphFont"/>
    <w:link w:val="FootnoteText"/>
    <w:semiHidden/>
    <w:rsid w:val="007D0BCA"/>
  </w:style>
  <w:style w:type="character" w:styleId="FootnoteReference">
    <w:name w:val="footnote reference"/>
    <w:basedOn w:val="DefaultParagraphFont"/>
    <w:semiHidden/>
    <w:unhideWhenUsed/>
    <w:rsid w:val="007D0BCA"/>
    <w:rPr>
      <w:vertAlign w:val="superscript"/>
    </w:rPr>
  </w:style>
  <w:style w:type="character" w:styleId="Hyperlink">
    <w:name w:val="Hyperlink"/>
    <w:basedOn w:val="DefaultParagraphFont"/>
    <w:unhideWhenUsed/>
    <w:rsid w:val="007D0BCA"/>
    <w:rPr>
      <w:color w:val="0000FF" w:themeColor="hyperlink"/>
      <w:u w:val="single"/>
    </w:rPr>
  </w:style>
  <w:style w:type="character" w:styleId="FollowedHyperlink">
    <w:name w:val="FollowedHyperlink"/>
    <w:basedOn w:val="DefaultParagraphFont"/>
    <w:semiHidden/>
    <w:unhideWhenUsed/>
    <w:rsid w:val="00B161A6"/>
    <w:rPr>
      <w:color w:val="800080" w:themeColor="followedHyperlink"/>
      <w:u w:val="single"/>
    </w:rPr>
  </w:style>
  <w:style w:type="paragraph" w:styleId="NormalWeb">
    <w:name w:val="Normal (Web)"/>
    <w:basedOn w:val="Normal"/>
    <w:uiPriority w:val="99"/>
    <w:unhideWhenUsed/>
    <w:rsid w:val="00522BDD"/>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48285">
      <w:bodyDiv w:val="1"/>
      <w:marLeft w:val="0"/>
      <w:marRight w:val="0"/>
      <w:marTop w:val="0"/>
      <w:marBottom w:val="0"/>
      <w:divBdr>
        <w:top w:val="none" w:sz="0" w:space="0" w:color="auto"/>
        <w:left w:val="none" w:sz="0" w:space="0" w:color="auto"/>
        <w:bottom w:val="none" w:sz="0" w:space="0" w:color="auto"/>
        <w:right w:val="none" w:sz="0" w:space="0" w:color="auto"/>
      </w:divBdr>
    </w:div>
    <w:div w:id="312103699">
      <w:bodyDiv w:val="1"/>
      <w:marLeft w:val="0"/>
      <w:marRight w:val="0"/>
      <w:marTop w:val="0"/>
      <w:marBottom w:val="0"/>
      <w:divBdr>
        <w:top w:val="none" w:sz="0" w:space="0" w:color="auto"/>
        <w:left w:val="none" w:sz="0" w:space="0" w:color="auto"/>
        <w:bottom w:val="none" w:sz="0" w:space="0" w:color="auto"/>
        <w:right w:val="none" w:sz="0" w:space="0" w:color="auto"/>
      </w:divBdr>
    </w:div>
    <w:div w:id="328024641">
      <w:bodyDiv w:val="1"/>
      <w:marLeft w:val="0"/>
      <w:marRight w:val="0"/>
      <w:marTop w:val="0"/>
      <w:marBottom w:val="0"/>
      <w:divBdr>
        <w:top w:val="none" w:sz="0" w:space="0" w:color="auto"/>
        <w:left w:val="none" w:sz="0" w:space="0" w:color="auto"/>
        <w:bottom w:val="none" w:sz="0" w:space="0" w:color="auto"/>
        <w:right w:val="none" w:sz="0" w:space="0" w:color="auto"/>
      </w:divBdr>
    </w:div>
    <w:div w:id="1014455130">
      <w:bodyDiv w:val="1"/>
      <w:marLeft w:val="0"/>
      <w:marRight w:val="0"/>
      <w:marTop w:val="0"/>
      <w:marBottom w:val="0"/>
      <w:divBdr>
        <w:top w:val="none" w:sz="0" w:space="0" w:color="auto"/>
        <w:left w:val="none" w:sz="0" w:space="0" w:color="auto"/>
        <w:bottom w:val="none" w:sz="0" w:space="0" w:color="auto"/>
        <w:right w:val="none" w:sz="0" w:space="0" w:color="auto"/>
      </w:divBdr>
    </w:div>
    <w:div w:id="1171289277">
      <w:bodyDiv w:val="1"/>
      <w:marLeft w:val="0"/>
      <w:marRight w:val="0"/>
      <w:marTop w:val="0"/>
      <w:marBottom w:val="0"/>
      <w:divBdr>
        <w:top w:val="none" w:sz="0" w:space="0" w:color="auto"/>
        <w:left w:val="none" w:sz="0" w:space="0" w:color="auto"/>
        <w:bottom w:val="none" w:sz="0" w:space="0" w:color="auto"/>
        <w:right w:val="none" w:sz="0" w:space="0" w:color="auto"/>
      </w:divBdr>
    </w:div>
    <w:div w:id="1260331633">
      <w:bodyDiv w:val="1"/>
      <w:marLeft w:val="0"/>
      <w:marRight w:val="0"/>
      <w:marTop w:val="0"/>
      <w:marBottom w:val="0"/>
      <w:divBdr>
        <w:top w:val="none" w:sz="0" w:space="0" w:color="auto"/>
        <w:left w:val="none" w:sz="0" w:space="0" w:color="auto"/>
        <w:bottom w:val="none" w:sz="0" w:space="0" w:color="auto"/>
        <w:right w:val="none" w:sz="0" w:space="0" w:color="auto"/>
      </w:divBdr>
    </w:div>
    <w:div w:id="1348941785">
      <w:bodyDiv w:val="1"/>
      <w:marLeft w:val="0"/>
      <w:marRight w:val="0"/>
      <w:marTop w:val="0"/>
      <w:marBottom w:val="0"/>
      <w:divBdr>
        <w:top w:val="none" w:sz="0" w:space="0" w:color="auto"/>
        <w:left w:val="none" w:sz="0" w:space="0" w:color="auto"/>
        <w:bottom w:val="none" w:sz="0" w:space="0" w:color="auto"/>
        <w:right w:val="none" w:sz="0" w:space="0" w:color="auto"/>
      </w:divBdr>
    </w:div>
    <w:div w:id="1382746712">
      <w:bodyDiv w:val="1"/>
      <w:marLeft w:val="0"/>
      <w:marRight w:val="0"/>
      <w:marTop w:val="0"/>
      <w:marBottom w:val="0"/>
      <w:divBdr>
        <w:top w:val="none" w:sz="0" w:space="0" w:color="auto"/>
        <w:left w:val="none" w:sz="0" w:space="0" w:color="auto"/>
        <w:bottom w:val="none" w:sz="0" w:space="0" w:color="auto"/>
        <w:right w:val="none" w:sz="0" w:space="0" w:color="auto"/>
      </w:divBdr>
    </w:div>
    <w:div w:id="1523088709">
      <w:bodyDiv w:val="1"/>
      <w:marLeft w:val="0"/>
      <w:marRight w:val="0"/>
      <w:marTop w:val="0"/>
      <w:marBottom w:val="0"/>
      <w:divBdr>
        <w:top w:val="none" w:sz="0" w:space="0" w:color="auto"/>
        <w:left w:val="none" w:sz="0" w:space="0" w:color="auto"/>
        <w:bottom w:val="none" w:sz="0" w:space="0" w:color="auto"/>
        <w:right w:val="none" w:sz="0" w:space="0" w:color="auto"/>
      </w:divBdr>
    </w:div>
    <w:div w:id="1566066882">
      <w:bodyDiv w:val="1"/>
      <w:marLeft w:val="0"/>
      <w:marRight w:val="0"/>
      <w:marTop w:val="0"/>
      <w:marBottom w:val="0"/>
      <w:divBdr>
        <w:top w:val="none" w:sz="0" w:space="0" w:color="auto"/>
        <w:left w:val="none" w:sz="0" w:space="0" w:color="auto"/>
        <w:bottom w:val="none" w:sz="0" w:space="0" w:color="auto"/>
        <w:right w:val="none" w:sz="0" w:space="0" w:color="auto"/>
      </w:divBdr>
    </w:div>
    <w:div w:id="1706757563">
      <w:bodyDiv w:val="1"/>
      <w:marLeft w:val="0"/>
      <w:marRight w:val="0"/>
      <w:marTop w:val="0"/>
      <w:marBottom w:val="0"/>
      <w:divBdr>
        <w:top w:val="none" w:sz="0" w:space="0" w:color="auto"/>
        <w:left w:val="none" w:sz="0" w:space="0" w:color="auto"/>
        <w:bottom w:val="none" w:sz="0" w:space="0" w:color="auto"/>
        <w:right w:val="none" w:sz="0" w:space="0" w:color="auto"/>
      </w:divBdr>
    </w:div>
    <w:div w:id="17845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BarbaraC.guinn@otda.ny.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hyllis.Morris@otda.ny.gov"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portal.hud.gov/hudportal/HUD?src=/program_offices/comm_planning/economicdevelopment/programs/rc" TargetMode="External"/><Relationship Id="rId1" Type="http://schemas.openxmlformats.org/officeDocument/2006/relationships/hyperlink" Target="http://www.umez.org/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escription0 xmlns="4ab2823e-dbd2-424a-ab3e-c90e66e67230">Form for State's to use when requesting a waiver</Description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C1B1919D80F4F842DFD2E026D71E9" ma:contentTypeVersion="1" ma:contentTypeDescription="Create a new document." ma:contentTypeScope="" ma:versionID="5ad32e6e23c03588bc9395a36a9163b7">
  <xsd:schema xmlns:xsd="http://www.w3.org/2001/XMLSchema" xmlns:p="http://schemas.microsoft.com/office/2006/metadata/properties" xmlns:ns2="4ab2823e-dbd2-424a-ab3e-c90e66e67230" targetNamespace="http://schemas.microsoft.com/office/2006/metadata/properties" ma:root="true" ma:fieldsID="3ac10a40bf02ff8769d16aa7acb2ffb3" ns2:_="">
    <xsd:import namespace="4ab2823e-dbd2-424a-ab3e-c90e66e67230"/>
    <xsd:element name="properties">
      <xsd:complexType>
        <xsd:sequence>
          <xsd:element name="documentManagement">
            <xsd:complexType>
              <xsd:all>
                <xsd:element ref="ns2:Description0"/>
              </xsd:all>
            </xsd:complexType>
          </xsd:element>
        </xsd:sequence>
      </xsd:complexType>
    </xsd:element>
  </xsd:schema>
  <xsd:schema xmlns:xsd="http://www.w3.org/2001/XMLSchema" xmlns:dms="http://schemas.microsoft.com/office/2006/documentManagement/types" targetNamespace="4ab2823e-dbd2-424a-ab3e-c90e66e67230" elementFormDefault="qualified">
    <xsd:import namespace="http://schemas.microsoft.com/office/2006/documentManagement/types"/>
    <xsd:element name="Description0" ma:index="8" ma:displayName="Description" ma:internalName="Description0">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32638-FAF5-4D5E-8348-72C9A8C35D67}">
  <ds:schemaRefs>
    <ds:schemaRef ds:uri="http://schemas.microsoft.com/office/2006/metadata/properties"/>
    <ds:schemaRef ds:uri="4ab2823e-dbd2-424a-ab3e-c90e66e67230"/>
  </ds:schemaRefs>
</ds:datastoreItem>
</file>

<file path=customXml/itemProps2.xml><?xml version="1.0" encoding="utf-8"?>
<ds:datastoreItem xmlns:ds="http://schemas.openxmlformats.org/officeDocument/2006/customXml" ds:itemID="{966917EB-6D12-42E4-B83E-C0C4F7D55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2823e-dbd2-424a-ab3e-c90e66e6723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4.xml><?xml version="1.0" encoding="utf-8"?>
<ds:datastoreItem xmlns:ds="http://schemas.openxmlformats.org/officeDocument/2006/customXml" ds:itemID="{B8BDEE43-1917-4C8C-A8C1-3857B6656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2650</Words>
  <Characters>15109</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SNAP</cp:lastModifiedBy>
  <cp:revision>2</cp:revision>
  <cp:lastPrinted>2015-09-15T19:07:00Z</cp:lastPrinted>
  <dcterms:created xsi:type="dcterms:W3CDTF">2023-03-21T13:55:00Z</dcterms:created>
  <dcterms:modified xsi:type="dcterms:W3CDTF">2023-03-21T13:55:00Z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0x010100931C1B1919D80F4F842DFD2E026D71E9</vt:lpwstr>
  </property>
</Properties>
</file>